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w:t>
      </w:r>
      <w:r w:rsidR="0003285E">
        <w:rPr>
          <w:rFonts w:ascii="Palatino Linotype" w:hAnsi="Palatino Linotype" w:cs="Arial"/>
          <w:b/>
        </w:rPr>
        <w:t xml:space="preserve">CONCURRENTE </w:t>
      </w:r>
      <w:r w:rsidRPr="00535456">
        <w:rPr>
          <w:rFonts w:ascii="Palatino Linotype" w:hAnsi="Palatino Linotype" w:cs="Arial"/>
          <w:b/>
        </w:rPr>
        <w:t>QUE FORMULA</w:t>
      </w:r>
      <w:r w:rsidR="0003285E">
        <w:rPr>
          <w:rFonts w:ascii="Palatino Linotype" w:hAnsi="Palatino Linotype" w:cs="Arial"/>
          <w:b/>
        </w:rPr>
        <w:t>N</w:t>
      </w:r>
      <w:r w:rsidRPr="00535456">
        <w:rPr>
          <w:rFonts w:ascii="Palatino Linotype" w:hAnsi="Palatino Linotype" w:cs="Arial"/>
          <w:b/>
        </w:rPr>
        <w:t xml:space="preserve"> LA COMISIONADA EVA ABAID YAPUR</w:t>
      </w:r>
      <w:r w:rsidR="0003285E">
        <w:rPr>
          <w:rFonts w:ascii="Palatino Linotype" w:hAnsi="Palatino Linotype" w:cs="Arial"/>
          <w:b/>
        </w:rPr>
        <w:t xml:space="preserve"> Y </w:t>
      </w:r>
      <w:r w:rsidR="00644424">
        <w:rPr>
          <w:rFonts w:ascii="Palatino Linotype" w:hAnsi="Palatino Linotype" w:cs="Arial"/>
          <w:b/>
        </w:rPr>
        <w:t>LA COMISIONADA PRESIDENTA</w:t>
      </w:r>
      <w:r w:rsidR="0003285E">
        <w:rPr>
          <w:rFonts w:ascii="Palatino Linotype" w:hAnsi="Palatino Linotype" w:cs="Arial"/>
          <w:b/>
        </w:rPr>
        <w:t xml:space="preserve"> </w:t>
      </w:r>
      <w:r w:rsidR="00644424">
        <w:rPr>
          <w:rFonts w:ascii="Palatino Linotype" w:hAnsi="Palatino Linotype" w:cs="Arial"/>
          <w:b/>
        </w:rPr>
        <w:t>ZULEMA MARTÍNEZ SÁNCHEZ</w:t>
      </w:r>
      <w:r w:rsidRPr="00535456">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4D5015">
        <w:rPr>
          <w:rFonts w:ascii="Palatino Linotype" w:hAnsi="Palatino Linotype" w:cs="Arial"/>
          <w:b/>
        </w:rPr>
        <w:t>SEXTA</w:t>
      </w:r>
      <w:r w:rsidRPr="00535456">
        <w:rPr>
          <w:rFonts w:ascii="Palatino Linotype" w:hAnsi="Palatino Linotype" w:cs="Arial"/>
          <w:b/>
        </w:rPr>
        <w:t xml:space="preserve"> SESIÓN ORDINARIA DE </w:t>
      </w:r>
      <w:r w:rsidR="004D5015">
        <w:rPr>
          <w:rFonts w:ascii="Palatino Linotype" w:hAnsi="Palatino Linotype" w:cs="Arial"/>
          <w:b/>
        </w:rPr>
        <w:t>TRECE DE FEBRERO</w:t>
      </w:r>
      <w:r w:rsidR="00BF70B2" w:rsidRPr="00535456">
        <w:rPr>
          <w:rFonts w:ascii="Palatino Linotype" w:hAnsi="Palatino Linotype" w:cs="Arial"/>
          <w:b/>
        </w:rPr>
        <w:t xml:space="preserve"> DE DOS MIL DIECINUEVE, EN EL RECURSO DE REVISIÓN </w:t>
      </w:r>
      <w:r w:rsidR="007162A6">
        <w:rPr>
          <w:rFonts w:ascii="Palatino Linotype" w:hAnsi="Palatino Linotype" w:cs="Arial"/>
          <w:b/>
          <w:bCs/>
        </w:rPr>
        <w:t>04</w:t>
      </w:r>
      <w:r w:rsidR="00644424">
        <w:rPr>
          <w:rFonts w:ascii="Palatino Linotype" w:hAnsi="Palatino Linotype" w:cs="Arial"/>
          <w:b/>
          <w:bCs/>
        </w:rPr>
        <w:t>396</w:t>
      </w:r>
      <w:r w:rsidR="00BF70B2" w:rsidRPr="00535456">
        <w:rPr>
          <w:rFonts w:ascii="Palatino Linotype" w:hAnsi="Palatino Linotype" w:cs="Arial"/>
          <w:b/>
          <w:bCs/>
        </w:rPr>
        <w:t>/INFOEM/IP/RR/2018.</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w:t>
      </w:r>
      <w:r w:rsidR="0003285E">
        <w:rPr>
          <w:rFonts w:ascii="Palatino Linotype" w:hAnsi="Palatino Linotype" w:cs="Arial"/>
        </w:rPr>
        <w:t>os</w:t>
      </w:r>
      <w:r w:rsidRPr="00535456">
        <w:rPr>
          <w:rFonts w:ascii="Palatino Linotype" w:hAnsi="Palatino Linotype" w:cs="Arial"/>
        </w:rPr>
        <w:t xml:space="preserve"> que suscribe</w:t>
      </w:r>
      <w:r w:rsidR="0003285E">
        <w:rPr>
          <w:rFonts w:ascii="Palatino Linotype" w:hAnsi="Palatino Linotype" w:cs="Arial"/>
        </w:rPr>
        <w:t>n</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03285E">
        <w:rPr>
          <w:rFonts w:ascii="Palatino Linotype" w:hAnsi="Palatino Linotype" w:cs="Arial"/>
          <w:b/>
        </w:rPr>
        <w:t xml:space="preserve"> </w:t>
      </w:r>
      <w:r w:rsidR="00644424">
        <w:rPr>
          <w:rFonts w:ascii="Palatino Linotype" w:hAnsi="Palatino Linotype" w:cs="Arial"/>
        </w:rPr>
        <w:t>y Comisionada Presidenta</w:t>
      </w:r>
      <w:r w:rsidR="0003285E">
        <w:rPr>
          <w:rFonts w:ascii="Palatino Linotype" w:hAnsi="Palatino Linotype" w:cs="Arial"/>
        </w:rPr>
        <w:t xml:space="preserve"> </w:t>
      </w:r>
      <w:r w:rsidR="00644424">
        <w:rPr>
          <w:rFonts w:ascii="Palatino Linotype" w:hAnsi="Palatino Linotype" w:cs="Arial"/>
          <w:b/>
        </w:rPr>
        <w:t>ZULEMA MARTÍNEZ SÁNCHEZ</w:t>
      </w:r>
      <w:r w:rsidR="00BB74CD" w:rsidRPr="00535456">
        <w:rPr>
          <w:rFonts w:ascii="Palatino Linotype" w:hAnsi="Palatino Linotype" w:cs="Arial"/>
          <w:b/>
        </w:rPr>
        <w:t xml:space="preserve"> </w:t>
      </w:r>
      <w:r w:rsidRPr="00535456">
        <w:rPr>
          <w:rFonts w:ascii="Palatino Linotype" w:hAnsi="Palatino Linotype" w:cs="Arial"/>
        </w:rPr>
        <w:t>emit</w:t>
      </w:r>
      <w:r w:rsidR="0003285E">
        <w:rPr>
          <w:rFonts w:ascii="Palatino Linotype" w:hAnsi="Palatino Linotype" w:cs="Arial"/>
        </w:rPr>
        <w:t>imos</w:t>
      </w:r>
      <w:r w:rsidRPr="00535456">
        <w:rPr>
          <w:rFonts w:ascii="Palatino Linotype" w:hAnsi="Palatino Linotype" w:cs="Arial"/>
        </w:rPr>
        <w:t xml:space="preserve"> </w:t>
      </w:r>
      <w:r w:rsidRPr="00535456">
        <w:rPr>
          <w:rFonts w:ascii="Palatino Linotype" w:hAnsi="Palatino Linotype" w:cs="Arial"/>
          <w:b/>
        </w:rPr>
        <w:t>VOTO PARTICULAR</w:t>
      </w:r>
      <w:r w:rsidR="0003285E">
        <w:rPr>
          <w:rFonts w:ascii="Palatino Linotype" w:hAnsi="Palatino Linotype" w:cs="Arial"/>
          <w:b/>
        </w:rPr>
        <w:t xml:space="preserve"> CONCURRENTE</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644424">
        <w:rPr>
          <w:rFonts w:ascii="Palatino Linotype" w:hAnsi="Palatino Linotype" w:cs="Arial"/>
          <w:b/>
          <w:bCs/>
        </w:rPr>
        <w:t>39</w:t>
      </w:r>
      <w:r w:rsidR="0003285E">
        <w:rPr>
          <w:rFonts w:ascii="Palatino Linotype" w:hAnsi="Palatino Linotype" w:cs="Arial"/>
          <w:b/>
          <w:bCs/>
        </w:rPr>
        <w:t>6</w:t>
      </w:r>
      <w:r w:rsidR="00670931" w:rsidRPr="00535456">
        <w:rPr>
          <w:rFonts w:ascii="Palatino Linotype" w:hAnsi="Palatino Linotype" w:cs="Arial"/>
          <w:b/>
          <w:bCs/>
        </w:rPr>
        <w:t>/INFOEM/IP/RR/2018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03285E">
        <w:rPr>
          <w:rFonts w:ascii="Palatino Linotype" w:hAnsi="Palatino Linotype" w:cs="Arial"/>
          <w:b/>
        </w:rPr>
        <w:t>LUIS GUSTAVO PARRA NORIEGA</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Pr="00535456"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220B93">
        <w:rPr>
          <w:rFonts w:ascii="Palatino Linotype" w:hAnsi="Palatino Linotype" w:cs="Arial"/>
        </w:rPr>
        <w:t xml:space="preserve">estimamos necesario precisar </w:t>
      </w:r>
      <w:r w:rsidRPr="00535456">
        <w:rPr>
          <w:rFonts w:ascii="Palatino Linotype" w:hAnsi="Palatino Linotype" w:cs="Arial"/>
        </w:rPr>
        <w:t>algunas consid</w:t>
      </w:r>
      <w:r w:rsidR="00F579EE" w:rsidRPr="00535456">
        <w:rPr>
          <w:rFonts w:ascii="Palatino Linotype" w:hAnsi="Palatino Linotype" w:cs="Arial"/>
        </w:rPr>
        <w:t>eraciones de hecho y de derecho.</w:t>
      </w:r>
    </w:p>
    <w:p w:rsidR="00400D0D" w:rsidRPr="00B3579C"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Tal y como quedó precisado en los resultandos de la resolución materia del presente voto, la p</w:t>
      </w:r>
      <w:r w:rsidRPr="00B3579C">
        <w:rPr>
          <w:rFonts w:ascii="Palatino Linotype" w:eastAsia="Calibri" w:hAnsi="Palatino Linotype" w:cs="Tahoma"/>
          <w:bCs/>
          <w:szCs w:val="22"/>
          <w:lang w:eastAsia="en-US"/>
        </w:rPr>
        <w:t xml:space="preserve">articular </w:t>
      </w:r>
      <w:r>
        <w:rPr>
          <w:rFonts w:ascii="Palatino Linotype" w:eastAsia="Calibri" w:hAnsi="Palatino Linotype" w:cs="Tahoma"/>
          <w:bCs/>
          <w:szCs w:val="22"/>
          <w:lang w:eastAsia="en-US"/>
        </w:rPr>
        <w:t>requirió</w:t>
      </w:r>
      <w:r w:rsidRPr="00B3579C">
        <w:rPr>
          <w:rFonts w:ascii="Palatino Linotype" w:eastAsia="Calibri" w:hAnsi="Palatino Linotype" w:cs="Tahoma"/>
          <w:bCs/>
          <w:szCs w:val="22"/>
          <w:lang w:eastAsia="en-US"/>
        </w:rPr>
        <w:t xml:space="preserve"> de la Secretaría de Seguridad,</w:t>
      </w:r>
      <w:r>
        <w:rPr>
          <w:rFonts w:ascii="Palatino Linotype" w:eastAsia="Calibri" w:hAnsi="Palatino Linotype" w:cs="Tahoma"/>
          <w:bCs/>
          <w:szCs w:val="22"/>
          <w:lang w:eastAsia="en-US"/>
        </w:rPr>
        <w:t xml:space="preserve"> en lo sucesivo </w:t>
      </w:r>
      <w:r w:rsidRPr="00B3579C">
        <w:rPr>
          <w:rFonts w:ascii="Palatino Linotype" w:eastAsia="Calibri" w:hAnsi="Palatino Linotype" w:cs="Tahoma"/>
          <w:b/>
          <w:bCs/>
          <w:szCs w:val="22"/>
          <w:lang w:eastAsia="en-US"/>
        </w:rPr>
        <w:t xml:space="preserve">EL SUJETO </w:t>
      </w:r>
      <w:r w:rsidRPr="00B3579C">
        <w:rPr>
          <w:rFonts w:ascii="Palatino Linotype" w:eastAsia="Calibri" w:hAnsi="Palatino Linotype" w:cs="Tahoma"/>
          <w:b/>
          <w:bCs/>
          <w:szCs w:val="22"/>
          <w:lang w:eastAsia="en-US"/>
        </w:rPr>
        <w:lastRenderedPageBreak/>
        <w:t>OBLIGADO</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información</w:t>
      </w:r>
      <w:r>
        <w:rPr>
          <w:rFonts w:ascii="Palatino Linotype" w:eastAsia="Calibri" w:hAnsi="Palatino Linotype" w:cs="Tahoma"/>
          <w:bCs/>
          <w:szCs w:val="22"/>
          <w:lang w:eastAsia="en-US"/>
        </w:rPr>
        <w:t xml:space="preserve"> de los </w:t>
      </w:r>
      <w:r w:rsidRPr="00B3579C">
        <w:rPr>
          <w:rFonts w:ascii="Palatino Linotype" w:eastAsia="Calibri" w:hAnsi="Palatino Linotype" w:cs="Tahoma"/>
          <w:bCs/>
          <w:szCs w:val="22"/>
          <w:lang w:eastAsia="en-US"/>
        </w:rPr>
        <w:t>Cuerpos de Seguridad Auxiliar y Urbana del Estado de México</w:t>
      </w:r>
      <w:r>
        <w:rPr>
          <w:rFonts w:ascii="Palatino Linotype" w:eastAsia="Calibri" w:hAnsi="Palatino Linotype" w:cs="Tahoma"/>
          <w:bCs/>
          <w:szCs w:val="22"/>
          <w:lang w:eastAsia="en-US"/>
        </w:rPr>
        <w:t xml:space="preserve"> (CUSAEM), consistente en la</w:t>
      </w:r>
      <w:r w:rsidRPr="00B3579C">
        <w:rPr>
          <w:rFonts w:ascii="Palatino Linotype" w:eastAsia="Calibri" w:hAnsi="Palatino Linotype" w:cs="Tahoma"/>
          <w:bCs/>
          <w:szCs w:val="22"/>
          <w:lang w:eastAsia="en-US"/>
        </w:rPr>
        <w:t xml:space="preserve"> siguiente:</w:t>
      </w:r>
    </w:p>
    <w:p w:rsidR="00400D0D" w:rsidRPr="00B3579C" w:rsidRDefault="00400D0D" w:rsidP="00400D0D">
      <w:pPr>
        <w:pStyle w:val="Prrafodelista"/>
        <w:numPr>
          <w:ilvl w:val="0"/>
          <w:numId w:val="13"/>
        </w:numPr>
        <w:spacing w:before="100" w:beforeAutospacing="1" w:after="100" w:afterAutospacing="1" w:line="360" w:lineRule="auto"/>
        <w:contextualSpacing w:val="0"/>
        <w:jc w:val="both"/>
        <w:rPr>
          <w:rFonts w:ascii="Palatino Linotype" w:eastAsia="Calibri" w:hAnsi="Palatino Linotype" w:cs="Tahoma"/>
          <w:bCs/>
          <w:szCs w:val="22"/>
          <w:lang w:eastAsia="en-US"/>
        </w:rPr>
      </w:pPr>
      <w:bookmarkStart w:id="0" w:name="_Hlk466973"/>
      <w:r w:rsidRPr="00B3579C">
        <w:rPr>
          <w:rFonts w:ascii="Palatino Linotype" w:eastAsia="Calibri" w:hAnsi="Palatino Linotype" w:cs="Tahoma"/>
          <w:bCs/>
          <w:szCs w:val="22"/>
          <w:lang w:eastAsia="en-US"/>
        </w:rPr>
        <w:t>Número de elementos con los que cuenta</w:t>
      </w:r>
      <w:r>
        <w:rPr>
          <w:rFonts w:ascii="Palatino Linotype" w:eastAsia="Calibri" w:hAnsi="Palatino Linotype" w:cs="Tahoma"/>
          <w:bCs/>
          <w:szCs w:val="22"/>
          <w:lang w:eastAsia="en-US"/>
        </w:rPr>
        <w:t>;</w:t>
      </w:r>
    </w:p>
    <w:p w:rsidR="00400D0D" w:rsidRPr="00B3579C" w:rsidRDefault="00400D0D" w:rsidP="00400D0D">
      <w:pPr>
        <w:pStyle w:val="Prrafodelista"/>
        <w:numPr>
          <w:ilvl w:val="0"/>
          <w:numId w:val="13"/>
        </w:numPr>
        <w:spacing w:before="100" w:beforeAutospacing="1" w:after="100" w:afterAutospacing="1" w:line="360" w:lineRule="auto"/>
        <w:contextualSpacing w:val="0"/>
        <w:jc w:val="both"/>
        <w:rPr>
          <w:rFonts w:ascii="Palatino Linotype" w:eastAsia="Calibri" w:hAnsi="Palatino Linotype" w:cs="Tahoma"/>
          <w:bCs/>
          <w:szCs w:val="22"/>
          <w:lang w:eastAsia="en-US"/>
        </w:rPr>
      </w:pPr>
      <w:r w:rsidRPr="00B3579C">
        <w:rPr>
          <w:rFonts w:ascii="Palatino Linotype" w:eastAsia="Calibri" w:hAnsi="Palatino Linotype" w:cs="Tahoma"/>
          <w:bCs/>
          <w:szCs w:val="22"/>
          <w:lang w:eastAsia="en-US"/>
        </w:rPr>
        <w:t>Nómina actual</w:t>
      </w:r>
      <w:r>
        <w:rPr>
          <w:rStyle w:val="Refdenotaalpie"/>
          <w:rFonts w:ascii="Palatino Linotype" w:eastAsia="Calibri" w:hAnsi="Palatino Linotype" w:cs="Tahoma"/>
          <w:bCs/>
          <w:szCs w:val="22"/>
          <w:lang w:eastAsia="en-US"/>
        </w:rPr>
        <w:footnoteReference w:id="1"/>
      </w:r>
      <w:r w:rsidRPr="00B3579C">
        <w:rPr>
          <w:rFonts w:ascii="Palatino Linotype" w:eastAsia="Calibri" w:hAnsi="Palatino Linotype" w:cs="Tahoma"/>
          <w:bCs/>
          <w:szCs w:val="22"/>
          <w:lang w:eastAsia="en-US"/>
        </w:rPr>
        <w:t xml:space="preserve"> y </w:t>
      </w:r>
      <w:r>
        <w:rPr>
          <w:rFonts w:ascii="Palatino Linotype" w:eastAsia="Calibri" w:hAnsi="Palatino Linotype" w:cs="Tahoma"/>
          <w:bCs/>
          <w:szCs w:val="22"/>
          <w:lang w:eastAsia="en-US"/>
        </w:rPr>
        <w:t>origen de los recursos;</w:t>
      </w:r>
    </w:p>
    <w:p w:rsidR="00400D0D" w:rsidRPr="00B3579C" w:rsidRDefault="00400D0D" w:rsidP="00400D0D">
      <w:pPr>
        <w:pStyle w:val="Prrafodelista"/>
        <w:numPr>
          <w:ilvl w:val="0"/>
          <w:numId w:val="13"/>
        </w:numPr>
        <w:spacing w:before="100" w:beforeAutospacing="1" w:after="100" w:afterAutospacing="1" w:line="360" w:lineRule="auto"/>
        <w:contextualSpacing w:val="0"/>
        <w:jc w:val="both"/>
        <w:rPr>
          <w:rFonts w:ascii="Palatino Linotype" w:eastAsia="Calibri" w:hAnsi="Palatino Linotype" w:cs="Tahoma"/>
          <w:bCs/>
          <w:szCs w:val="22"/>
          <w:lang w:eastAsia="en-US"/>
        </w:rPr>
      </w:pPr>
      <w:r w:rsidRPr="00B3579C">
        <w:rPr>
          <w:rFonts w:ascii="Palatino Linotype" w:eastAsia="Calibri" w:hAnsi="Palatino Linotype" w:cs="Tahoma"/>
          <w:bCs/>
          <w:szCs w:val="22"/>
          <w:lang w:eastAsia="en-US"/>
        </w:rPr>
        <w:t>Número de clientes a los que presta sus servicios</w:t>
      </w:r>
      <w:r>
        <w:rPr>
          <w:rFonts w:ascii="Palatino Linotype" w:eastAsia="Calibri" w:hAnsi="Palatino Linotype" w:cs="Tahoma"/>
          <w:bCs/>
          <w:szCs w:val="22"/>
          <w:lang w:eastAsia="en-US"/>
        </w:rPr>
        <w:t>; y,</w:t>
      </w:r>
    </w:p>
    <w:p w:rsidR="00400D0D" w:rsidRPr="00B3579C" w:rsidRDefault="00400D0D" w:rsidP="00400D0D">
      <w:pPr>
        <w:pStyle w:val="Prrafodelista"/>
        <w:numPr>
          <w:ilvl w:val="0"/>
          <w:numId w:val="13"/>
        </w:numPr>
        <w:spacing w:before="100" w:beforeAutospacing="1" w:after="100" w:afterAutospacing="1" w:line="360" w:lineRule="auto"/>
        <w:contextualSpacing w:val="0"/>
        <w:jc w:val="both"/>
        <w:rPr>
          <w:rFonts w:ascii="Palatino Linotype" w:eastAsia="Calibri" w:hAnsi="Palatino Linotype" w:cs="Tahoma"/>
          <w:bCs/>
          <w:szCs w:val="22"/>
          <w:lang w:eastAsia="en-US"/>
        </w:rPr>
      </w:pPr>
      <w:r w:rsidRPr="00B3579C">
        <w:rPr>
          <w:rFonts w:ascii="Palatino Linotype" w:eastAsia="Calibri" w:hAnsi="Palatino Linotype" w:cs="Tahoma"/>
          <w:bCs/>
          <w:szCs w:val="22"/>
          <w:lang w:eastAsia="en-US"/>
        </w:rPr>
        <w:t xml:space="preserve">Monto de los ingresos por prestación de servicios, </w:t>
      </w:r>
      <w:r>
        <w:rPr>
          <w:rFonts w:ascii="Palatino Linotype" w:eastAsia="Calibri" w:hAnsi="Palatino Linotype" w:cs="Tahoma"/>
          <w:bCs/>
          <w:szCs w:val="22"/>
          <w:lang w:eastAsia="en-US"/>
        </w:rPr>
        <w:t>correspondiente al 2017</w:t>
      </w:r>
      <w:r w:rsidRPr="00B3579C">
        <w:rPr>
          <w:rFonts w:ascii="Palatino Linotype" w:eastAsia="Calibri" w:hAnsi="Palatino Linotype" w:cs="Tahoma"/>
          <w:bCs/>
          <w:szCs w:val="22"/>
          <w:lang w:eastAsia="en-US"/>
        </w:rPr>
        <w:t>.</w:t>
      </w:r>
    </w:p>
    <w:bookmarkEnd w:id="0"/>
    <w:p w:rsidR="00400D0D" w:rsidRPr="00B3579C"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Al respecto, </w:t>
      </w:r>
      <w:r w:rsidRPr="00B3579C">
        <w:rPr>
          <w:rFonts w:ascii="Palatino Linotype" w:eastAsia="Calibri" w:hAnsi="Palatino Linotype" w:cs="Tahoma"/>
          <w:b/>
          <w:bCs/>
          <w:szCs w:val="22"/>
          <w:lang w:eastAsia="en-US"/>
        </w:rPr>
        <w:t>EL SUJETO OBLIGADO</w:t>
      </w:r>
      <w:r>
        <w:rPr>
          <w:rFonts w:ascii="Palatino Linotype" w:eastAsia="Calibri" w:hAnsi="Palatino Linotype" w:cs="Tahoma"/>
          <w:bCs/>
          <w:szCs w:val="22"/>
          <w:lang w:eastAsia="en-US"/>
        </w:rPr>
        <w:t xml:space="preserve"> respondió a la particular que la Secretaría de Seguridad con los CUSAEM </w:t>
      </w:r>
      <w:r w:rsidRPr="00B3579C">
        <w:rPr>
          <w:rFonts w:ascii="Palatino Linotype" w:eastAsia="Calibri" w:hAnsi="Palatino Linotype" w:cs="Tahoma"/>
          <w:bCs/>
          <w:szCs w:val="22"/>
          <w:lang w:eastAsia="en-US"/>
        </w:rPr>
        <w:t>sólo</w:t>
      </w:r>
      <w:r>
        <w:rPr>
          <w:rFonts w:ascii="Palatino Linotype" w:eastAsia="Calibri" w:hAnsi="Palatino Linotype" w:cs="Tahoma"/>
          <w:bCs/>
          <w:szCs w:val="22"/>
          <w:lang w:eastAsia="en-US"/>
        </w:rPr>
        <w:t xml:space="preserve"> mantiene</w:t>
      </w:r>
      <w:r w:rsidRPr="00B3579C">
        <w:rPr>
          <w:rFonts w:ascii="Palatino Linotype" w:eastAsia="Calibri" w:hAnsi="Palatino Linotype" w:cs="Tahoma"/>
          <w:bCs/>
          <w:szCs w:val="22"/>
          <w:lang w:eastAsia="en-US"/>
        </w:rPr>
        <w:t xml:space="preserve"> una coordinación estrictamente de carácter operativo</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en situaciones de urgencia, desastre o cuando fuese necesario en apoyo a la seguridad pública</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en razón de que</w:t>
      </w:r>
      <w:r>
        <w:rPr>
          <w:rFonts w:ascii="Palatino Linotype" w:eastAsia="Calibri" w:hAnsi="Palatino Linotype" w:cs="Tahoma"/>
          <w:bCs/>
          <w:szCs w:val="22"/>
          <w:lang w:eastAsia="en-US"/>
        </w:rPr>
        <w:t xml:space="preserve"> é</w:t>
      </w:r>
      <w:r w:rsidRPr="00B3579C">
        <w:rPr>
          <w:rFonts w:ascii="Palatino Linotype" w:eastAsia="Calibri" w:hAnsi="Palatino Linotype" w:cs="Tahoma"/>
          <w:bCs/>
          <w:szCs w:val="22"/>
          <w:lang w:eastAsia="en-US"/>
        </w:rPr>
        <w:t>stos no dependen orgánica, presupuestal, programática ni administrativamente de</w:t>
      </w:r>
      <w:r>
        <w:rPr>
          <w:rFonts w:ascii="Palatino Linotype" w:eastAsia="Calibri" w:hAnsi="Palatino Linotype" w:cs="Tahoma"/>
          <w:bCs/>
          <w:szCs w:val="22"/>
          <w:lang w:eastAsia="en-US"/>
        </w:rPr>
        <w:t xml:space="preserve">l </w:t>
      </w:r>
      <w:r w:rsidRPr="00B3579C">
        <w:rPr>
          <w:rFonts w:ascii="Palatino Linotype" w:eastAsia="Calibri" w:hAnsi="Palatino Linotype" w:cs="Tahoma"/>
          <w:b/>
          <w:bCs/>
          <w:szCs w:val="22"/>
          <w:lang w:eastAsia="en-US"/>
        </w:rPr>
        <w:t>SUJETO OBLIGADO</w:t>
      </w:r>
      <w:r w:rsidRPr="00B3579C">
        <w:rPr>
          <w:rFonts w:ascii="Palatino Linotype" w:eastAsia="Calibri" w:hAnsi="Palatino Linotype" w:cs="Tahoma"/>
          <w:bCs/>
          <w:szCs w:val="22"/>
          <w:lang w:eastAsia="en-US"/>
        </w:rPr>
        <w:t>.</w:t>
      </w:r>
    </w:p>
    <w:p w:rsidR="00400D0D" w:rsidRPr="00B3579C"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Asimismo, </w:t>
      </w:r>
      <w:r w:rsidRPr="00B3579C">
        <w:rPr>
          <w:rFonts w:ascii="Palatino Linotype" w:eastAsia="Calibri" w:hAnsi="Palatino Linotype" w:cs="Tahoma"/>
          <w:b/>
          <w:bCs/>
          <w:szCs w:val="22"/>
          <w:lang w:eastAsia="en-US"/>
        </w:rPr>
        <w:t>EL SUJETO OBLIGADO</w:t>
      </w:r>
      <w:r>
        <w:rPr>
          <w:rFonts w:ascii="Palatino Linotype" w:eastAsia="Calibri" w:hAnsi="Palatino Linotype" w:cs="Tahoma"/>
          <w:bCs/>
          <w:szCs w:val="22"/>
          <w:lang w:eastAsia="en-US"/>
        </w:rPr>
        <w:t xml:space="preserve"> </w:t>
      </w:r>
      <w:r w:rsidRPr="00B3579C">
        <w:rPr>
          <w:rFonts w:ascii="Palatino Linotype" w:eastAsia="Calibri" w:hAnsi="Palatino Linotype" w:cs="Tahoma"/>
          <w:bCs/>
          <w:szCs w:val="22"/>
          <w:lang w:eastAsia="en-US"/>
        </w:rPr>
        <w:t xml:space="preserve">refirió que después de haber realizado una revisión exhaustiva en los expedientes físicos y electrónicos de esa Dependencia, no localizó ningún expediente, reporte, estudio, acta, resolución, oficio, correspondencia, acuerdo, directiva, directriz, circular, contrato, convenio, instructivo, nota, memorando, estadística o bien cualquier otro </w:t>
      </w:r>
      <w:r>
        <w:rPr>
          <w:rFonts w:ascii="Palatino Linotype" w:eastAsia="Calibri" w:hAnsi="Palatino Linotype" w:cs="Tahoma"/>
          <w:bCs/>
          <w:szCs w:val="22"/>
          <w:lang w:eastAsia="en-US"/>
        </w:rPr>
        <w:t>documento con el cual pudiera dar respuesta a la solicitud de la particular.</w:t>
      </w:r>
    </w:p>
    <w:p w:rsidR="00400D0D" w:rsidRPr="00B3579C"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sidRPr="00B3579C">
        <w:rPr>
          <w:rFonts w:ascii="Palatino Linotype" w:eastAsia="Calibri" w:hAnsi="Palatino Linotype" w:cs="Tahoma"/>
          <w:bCs/>
          <w:szCs w:val="22"/>
          <w:lang w:eastAsia="en-US"/>
        </w:rPr>
        <w:lastRenderedPageBreak/>
        <w:t>Inconforme con</w:t>
      </w:r>
      <w:r>
        <w:rPr>
          <w:rFonts w:ascii="Palatino Linotype" w:eastAsia="Calibri" w:hAnsi="Palatino Linotype" w:cs="Tahoma"/>
          <w:bCs/>
          <w:szCs w:val="22"/>
          <w:lang w:eastAsia="en-US"/>
        </w:rPr>
        <w:t xml:space="preserve"> dicha respuesta, la ahora </w:t>
      </w:r>
      <w:r w:rsidRPr="00CA3A83">
        <w:rPr>
          <w:rFonts w:ascii="Palatino Linotype" w:eastAsia="Calibri" w:hAnsi="Palatino Linotype" w:cs="Tahoma"/>
          <w:b/>
          <w:bCs/>
          <w:szCs w:val="22"/>
          <w:lang w:eastAsia="en-US"/>
        </w:rPr>
        <w:t>RECURRENTE</w:t>
      </w:r>
      <w:r>
        <w:rPr>
          <w:rFonts w:ascii="Palatino Linotype" w:eastAsia="Calibri" w:hAnsi="Palatino Linotype" w:cs="Tahoma"/>
          <w:bCs/>
          <w:szCs w:val="22"/>
          <w:lang w:eastAsia="en-US"/>
        </w:rPr>
        <w:t xml:space="preserve"> interpuso el medio de defensa materia de estudio, en el cual manifestó que </w:t>
      </w:r>
      <w:r w:rsidRPr="00B3579C">
        <w:rPr>
          <w:rFonts w:ascii="Palatino Linotype" w:eastAsia="Calibri" w:hAnsi="Palatino Linotype" w:cs="Tahoma"/>
          <w:bCs/>
          <w:szCs w:val="22"/>
          <w:lang w:eastAsia="en-US"/>
        </w:rPr>
        <w:t>los elementos de</w:t>
      </w:r>
      <w:r>
        <w:rPr>
          <w:rFonts w:ascii="Palatino Linotype" w:eastAsia="Calibri" w:hAnsi="Palatino Linotype" w:cs="Tahoma"/>
          <w:bCs/>
          <w:szCs w:val="22"/>
          <w:lang w:eastAsia="en-US"/>
        </w:rPr>
        <w:t xml:space="preserve"> </w:t>
      </w:r>
      <w:r w:rsidRPr="00B3579C">
        <w:rPr>
          <w:rFonts w:ascii="Palatino Linotype" w:eastAsia="Calibri" w:hAnsi="Palatino Linotype" w:cs="Tahoma"/>
          <w:bCs/>
          <w:szCs w:val="22"/>
          <w:lang w:eastAsia="en-US"/>
        </w:rPr>
        <w:t>l</w:t>
      </w:r>
      <w:r>
        <w:rPr>
          <w:rFonts w:ascii="Palatino Linotype" w:eastAsia="Calibri" w:hAnsi="Palatino Linotype" w:cs="Tahoma"/>
          <w:bCs/>
          <w:szCs w:val="22"/>
          <w:lang w:eastAsia="en-US"/>
        </w:rPr>
        <w:t>os</w:t>
      </w:r>
      <w:r w:rsidRPr="00B3579C">
        <w:rPr>
          <w:rFonts w:ascii="Palatino Linotype" w:eastAsia="Calibri" w:hAnsi="Palatino Linotype" w:cs="Tahoma"/>
          <w:bCs/>
          <w:szCs w:val="22"/>
          <w:lang w:eastAsia="en-US"/>
        </w:rPr>
        <w:t xml:space="preserve"> CUSAEM pertenecen a la Secretaría de Seguridad</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por lo que</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era poco creíble que no se contara con la información solicitada.</w:t>
      </w:r>
    </w:p>
    <w:p w:rsidR="00400D0D" w:rsidRPr="00B3579C"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Posteriormente, </w:t>
      </w:r>
      <w:r w:rsidRPr="00CA3A83">
        <w:rPr>
          <w:rFonts w:ascii="Palatino Linotype" w:eastAsia="Calibri" w:hAnsi="Palatino Linotype" w:cs="Tahoma"/>
          <w:b/>
          <w:bCs/>
          <w:szCs w:val="22"/>
          <w:lang w:eastAsia="en-US"/>
        </w:rPr>
        <w:t>EL SUJETO OBLIGADO</w:t>
      </w:r>
      <w:r>
        <w:rPr>
          <w:rFonts w:ascii="Palatino Linotype" w:eastAsia="Calibri" w:hAnsi="Palatino Linotype" w:cs="Tahoma"/>
          <w:bCs/>
          <w:szCs w:val="22"/>
          <w:lang w:eastAsia="en-US"/>
        </w:rPr>
        <w:t xml:space="preserve"> rindió su Informe Justificado, en el cual reiteró su</w:t>
      </w:r>
      <w:r w:rsidRPr="00B3579C">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 xml:space="preserve"> y, además,</w:t>
      </w:r>
      <w:r w:rsidRPr="00B3579C">
        <w:rPr>
          <w:rFonts w:ascii="Palatino Linotype" w:eastAsia="Calibri" w:hAnsi="Palatino Linotype" w:cs="Tahoma"/>
          <w:bCs/>
          <w:szCs w:val="22"/>
          <w:lang w:eastAsia="en-US"/>
        </w:rPr>
        <w:t xml:space="preserve"> anexó el Presupuesto del Ejercicio Fiscal 2018</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así como</w:t>
      </w:r>
      <w:r>
        <w:rPr>
          <w:rFonts w:ascii="Palatino Linotype" w:eastAsia="Calibri" w:hAnsi="Palatino Linotype" w:cs="Tahoma"/>
          <w:bCs/>
          <w:szCs w:val="22"/>
          <w:lang w:eastAsia="en-US"/>
        </w:rPr>
        <w:t>,</w:t>
      </w:r>
      <w:r w:rsidRPr="00B3579C">
        <w:rPr>
          <w:rFonts w:ascii="Palatino Linotype" w:eastAsia="Calibri" w:hAnsi="Palatino Linotype" w:cs="Tahoma"/>
          <w:bCs/>
          <w:szCs w:val="22"/>
          <w:lang w:eastAsia="en-US"/>
        </w:rPr>
        <w:t xml:space="preserve"> la composi</w:t>
      </w:r>
      <w:r w:rsidR="00220B93">
        <w:rPr>
          <w:rFonts w:ascii="Palatino Linotype" w:eastAsia="Calibri" w:hAnsi="Palatino Linotype" w:cs="Tahoma"/>
          <w:bCs/>
          <w:szCs w:val="22"/>
          <w:lang w:eastAsia="en-US"/>
        </w:rPr>
        <w:t>ción orgánica de la Institución</w:t>
      </w:r>
      <w:r w:rsidRPr="00B3579C">
        <w:rPr>
          <w:rFonts w:ascii="Palatino Linotype" w:eastAsia="Calibri" w:hAnsi="Palatino Linotype" w:cs="Tahoma"/>
          <w:bCs/>
          <w:szCs w:val="22"/>
          <w:lang w:eastAsia="en-US"/>
        </w:rPr>
        <w:t>.</w:t>
      </w:r>
    </w:p>
    <w:p w:rsidR="00400D0D"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sidRPr="00CA3A83">
        <w:rPr>
          <w:rFonts w:ascii="Palatino Linotype" w:eastAsia="Calibri" w:hAnsi="Palatino Linotype" w:cs="Tahoma"/>
          <w:bCs/>
          <w:szCs w:val="22"/>
          <w:lang w:eastAsia="en-US"/>
        </w:rPr>
        <w:t>Bajo ese contexto, la Ponencia Resolutora determinó que</w:t>
      </w:r>
      <w:r>
        <w:rPr>
          <w:rFonts w:ascii="Palatino Linotype" w:eastAsia="Calibri" w:hAnsi="Palatino Linotype" w:cs="Tahoma"/>
          <w:bCs/>
          <w:szCs w:val="22"/>
          <w:lang w:eastAsia="en-US"/>
        </w:rPr>
        <w:t xml:space="preserve"> no era necesario que los CUSAEM formaran parte de</w:t>
      </w:r>
      <w:r w:rsidR="0023245E">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l</w:t>
      </w:r>
      <w:r w:rsidR="0023245E">
        <w:rPr>
          <w:rFonts w:ascii="Palatino Linotype" w:eastAsia="Calibri" w:hAnsi="Palatino Linotype" w:cs="Tahoma"/>
          <w:bCs/>
          <w:szCs w:val="22"/>
          <w:lang w:eastAsia="en-US"/>
        </w:rPr>
        <w:t>a estructura orgánica del</w:t>
      </w:r>
      <w:r>
        <w:rPr>
          <w:rFonts w:ascii="Palatino Linotype" w:eastAsia="Calibri" w:hAnsi="Palatino Linotype" w:cs="Tahoma"/>
          <w:bCs/>
          <w:szCs w:val="22"/>
          <w:lang w:eastAsia="en-US"/>
        </w:rPr>
        <w:t xml:space="preserve"> </w:t>
      </w:r>
      <w:r w:rsidRPr="00CA3A83">
        <w:rPr>
          <w:rFonts w:ascii="Palatino Linotype" w:eastAsia="Calibri" w:hAnsi="Palatino Linotype" w:cs="Tahoma"/>
          <w:b/>
          <w:bCs/>
          <w:szCs w:val="22"/>
          <w:lang w:eastAsia="en-US"/>
        </w:rPr>
        <w:t>SUJETO OBLIGADO</w:t>
      </w:r>
      <w:r>
        <w:rPr>
          <w:rFonts w:ascii="Palatino Linotype" w:eastAsia="Calibri" w:hAnsi="Palatino Linotype" w:cs="Tahoma"/>
          <w:bCs/>
          <w:szCs w:val="22"/>
          <w:lang w:eastAsia="en-US"/>
        </w:rPr>
        <w:t xml:space="preserve"> para que pudiera ser satisfecha la pretensión de la hoy </w:t>
      </w:r>
      <w:r w:rsidRPr="00CA3A83">
        <w:rPr>
          <w:rFonts w:ascii="Palatino Linotype" w:eastAsia="Calibri" w:hAnsi="Palatino Linotype" w:cs="Tahoma"/>
          <w:b/>
          <w:bCs/>
          <w:szCs w:val="22"/>
          <w:lang w:eastAsia="en-US"/>
        </w:rPr>
        <w:t>RECURRENTE</w:t>
      </w:r>
      <w:r>
        <w:rPr>
          <w:rFonts w:ascii="Palatino Linotype" w:eastAsia="Calibri" w:hAnsi="Palatino Linotype" w:cs="Tahoma"/>
          <w:bCs/>
          <w:szCs w:val="22"/>
          <w:lang w:eastAsia="en-US"/>
        </w:rPr>
        <w:t>, pues estimó que al contar con facultades para realizar actividades</w:t>
      </w:r>
      <w:r w:rsidRPr="00B3579C">
        <w:rPr>
          <w:rFonts w:ascii="Palatino Linotype" w:eastAsia="Calibri" w:hAnsi="Palatino Linotype" w:cs="Tahoma"/>
          <w:bCs/>
          <w:szCs w:val="22"/>
          <w:lang w:eastAsia="en-US"/>
        </w:rPr>
        <w:t xml:space="preserve"> en tareas de seguridad pública, e</w:t>
      </w:r>
      <w:r>
        <w:rPr>
          <w:rFonts w:ascii="Palatino Linotype" w:eastAsia="Calibri" w:hAnsi="Palatino Linotype" w:cs="Tahoma"/>
          <w:bCs/>
          <w:szCs w:val="22"/>
          <w:lang w:eastAsia="en-US"/>
        </w:rPr>
        <w:t>ra</w:t>
      </w:r>
      <w:r w:rsidRPr="00B3579C">
        <w:rPr>
          <w:rFonts w:ascii="Palatino Linotype" w:eastAsia="Calibri" w:hAnsi="Palatino Linotype" w:cs="Tahoma"/>
          <w:bCs/>
          <w:szCs w:val="22"/>
          <w:lang w:eastAsia="en-US"/>
        </w:rPr>
        <w:t xml:space="preserve"> posible que la info</w:t>
      </w:r>
      <w:r>
        <w:rPr>
          <w:rFonts w:ascii="Palatino Linotype" w:eastAsia="Calibri" w:hAnsi="Palatino Linotype" w:cs="Tahoma"/>
          <w:bCs/>
          <w:szCs w:val="22"/>
          <w:lang w:eastAsia="en-US"/>
        </w:rPr>
        <w:t xml:space="preserve">rmación exista en sus archivos, máxime que </w:t>
      </w:r>
      <w:r w:rsidRPr="006C331E">
        <w:rPr>
          <w:rFonts w:ascii="Palatino Linotype" w:eastAsia="Calibri" w:hAnsi="Palatino Linotype" w:cs="Tahoma"/>
          <w:b/>
          <w:bCs/>
          <w:szCs w:val="22"/>
          <w:lang w:eastAsia="en-US"/>
        </w:rPr>
        <w:t>EL SUJETO OBLIGADO</w:t>
      </w:r>
      <w:r>
        <w:rPr>
          <w:rFonts w:ascii="Palatino Linotype" w:eastAsia="Calibri" w:hAnsi="Palatino Linotype" w:cs="Tahoma"/>
          <w:bCs/>
          <w:szCs w:val="22"/>
          <w:lang w:eastAsia="en-US"/>
        </w:rPr>
        <w:t xml:space="preserve"> debe </w:t>
      </w:r>
      <w:r w:rsidRPr="00CA3A83">
        <w:rPr>
          <w:rFonts w:ascii="Palatino Linotype" w:eastAsia="Calibri" w:hAnsi="Palatino Linotype" w:cs="Tahoma"/>
          <w:bCs/>
          <w:szCs w:val="22"/>
          <w:lang w:eastAsia="en-US"/>
        </w:rPr>
        <w:t xml:space="preserve">conocer sobre el control del personal de la Secretaría y de los </w:t>
      </w:r>
      <w:r w:rsidR="00220B93">
        <w:rPr>
          <w:rFonts w:ascii="Palatino Linotype" w:eastAsia="Calibri" w:hAnsi="Palatino Linotype" w:cs="Tahoma"/>
          <w:bCs/>
          <w:szCs w:val="22"/>
          <w:lang w:eastAsia="en-US"/>
        </w:rPr>
        <w:t>prestadores de seguridad</w:t>
      </w:r>
      <w:r w:rsidRPr="00CA3A83">
        <w:rPr>
          <w:rFonts w:ascii="Palatino Linotype" w:eastAsia="Calibri" w:hAnsi="Palatino Linotype" w:cs="Tahoma"/>
          <w:bCs/>
          <w:szCs w:val="22"/>
          <w:lang w:eastAsia="en-US"/>
        </w:rPr>
        <w:t xml:space="preserve"> y verificar el cumplimiento de las disposiciones normativas por parte de </w:t>
      </w:r>
      <w:r>
        <w:rPr>
          <w:rFonts w:ascii="Palatino Linotype" w:eastAsia="Calibri" w:hAnsi="Palatino Linotype" w:cs="Tahoma"/>
          <w:bCs/>
          <w:szCs w:val="22"/>
          <w:lang w:eastAsia="en-US"/>
        </w:rPr>
        <w:t>é</w:t>
      </w:r>
      <w:r w:rsidRPr="00CA3A83">
        <w:rPr>
          <w:rFonts w:ascii="Palatino Linotype" w:eastAsia="Calibri" w:hAnsi="Palatino Linotype" w:cs="Tahoma"/>
          <w:bCs/>
          <w:szCs w:val="22"/>
          <w:lang w:eastAsia="en-US"/>
        </w:rPr>
        <w:t>stos</w:t>
      </w:r>
      <w:r>
        <w:rPr>
          <w:rFonts w:ascii="Palatino Linotype" w:eastAsia="Calibri" w:hAnsi="Palatino Linotype" w:cs="Tahoma"/>
          <w:bCs/>
          <w:szCs w:val="22"/>
          <w:lang w:eastAsia="en-US"/>
        </w:rPr>
        <w:t>.</w:t>
      </w:r>
    </w:p>
    <w:p w:rsidR="00220B93" w:rsidRPr="00220B93" w:rsidRDefault="00220B93" w:rsidP="00400D0D">
      <w:pPr>
        <w:spacing w:before="100" w:beforeAutospacing="1" w:after="100" w:afterAutospacing="1" w:line="360" w:lineRule="auto"/>
        <w:jc w:val="both"/>
        <w:rPr>
          <w:rFonts w:ascii="Palatino Linotype" w:eastAsia="Calibri" w:hAnsi="Palatino Linotype" w:cs="Tahoma"/>
          <w:bCs/>
          <w:sz w:val="8"/>
          <w:szCs w:val="8"/>
          <w:lang w:eastAsia="en-US"/>
        </w:rPr>
      </w:pPr>
    </w:p>
    <w:p w:rsidR="00400D0D"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Por ello, la Ponencia Resolutora estimó que las razones o motivos de inconformidad hechos valer por </w:t>
      </w:r>
      <w:r w:rsidRPr="00CA3A83">
        <w:rPr>
          <w:rFonts w:ascii="Palatino Linotype" w:eastAsia="Calibri" w:hAnsi="Palatino Linotype" w:cs="Tahoma"/>
          <w:b/>
          <w:bCs/>
          <w:szCs w:val="22"/>
          <w:lang w:eastAsia="en-US"/>
        </w:rPr>
        <w:t>LA RECURRENTE</w:t>
      </w:r>
      <w:r>
        <w:rPr>
          <w:rFonts w:ascii="Palatino Linotype" w:eastAsia="Calibri" w:hAnsi="Palatino Linotype" w:cs="Tahoma"/>
          <w:bCs/>
          <w:szCs w:val="22"/>
          <w:lang w:eastAsia="en-US"/>
        </w:rPr>
        <w:t xml:space="preserve"> devenían fundados; por lo que, en consecuencia, lo procedente era revocar la respuesta del </w:t>
      </w:r>
      <w:r w:rsidRPr="00CA3A83">
        <w:rPr>
          <w:rFonts w:ascii="Palatino Linotype" w:eastAsia="Calibri" w:hAnsi="Palatino Linotype" w:cs="Tahoma"/>
          <w:b/>
          <w:bCs/>
          <w:szCs w:val="22"/>
          <w:lang w:eastAsia="en-US"/>
        </w:rPr>
        <w:t>SUJETO OBLIGADO</w:t>
      </w:r>
      <w:r>
        <w:rPr>
          <w:rFonts w:ascii="Palatino Linotype" w:eastAsia="Calibri" w:hAnsi="Palatino Linotype" w:cs="Tahoma"/>
          <w:bCs/>
          <w:szCs w:val="22"/>
          <w:lang w:eastAsia="en-US"/>
        </w:rPr>
        <w:t xml:space="preserve"> y ordenar la entrega </w:t>
      </w:r>
      <w:r w:rsidRPr="00B3579C">
        <w:rPr>
          <w:rFonts w:ascii="Palatino Linotype" w:eastAsia="Calibri" w:hAnsi="Palatino Linotype" w:cs="Tahoma"/>
          <w:bCs/>
          <w:szCs w:val="22"/>
          <w:lang w:eastAsia="en-US"/>
        </w:rPr>
        <w:t xml:space="preserve">de aquella información relacionada con la solicitud, que constituya un requisito para </w:t>
      </w:r>
      <w:r w:rsidRPr="00B3579C">
        <w:rPr>
          <w:rFonts w:ascii="Palatino Linotype" w:eastAsia="Calibri" w:hAnsi="Palatino Linotype" w:cs="Tahoma"/>
          <w:bCs/>
          <w:szCs w:val="22"/>
          <w:lang w:eastAsia="en-US"/>
        </w:rPr>
        <w:lastRenderedPageBreak/>
        <w:t>el registro como empresa de seguridad</w:t>
      </w:r>
      <w:r>
        <w:rPr>
          <w:rFonts w:ascii="Palatino Linotype" w:eastAsia="Calibri" w:hAnsi="Palatino Linotype" w:cs="Tahoma"/>
          <w:bCs/>
          <w:szCs w:val="22"/>
          <w:lang w:eastAsia="en-US"/>
        </w:rPr>
        <w:t xml:space="preserve">, en versión pública y que, en caso de no localizarla, </w:t>
      </w:r>
      <w:r w:rsidR="00FC134E">
        <w:rPr>
          <w:rFonts w:ascii="Palatino Linotype" w:eastAsia="Calibri" w:hAnsi="Palatino Linotype" w:cs="Tahoma"/>
          <w:bCs/>
          <w:szCs w:val="22"/>
          <w:lang w:eastAsia="en-US"/>
        </w:rPr>
        <w:t xml:space="preserve">hacerlo del conocimiento del </w:t>
      </w:r>
      <w:r w:rsidR="00FC134E" w:rsidRPr="00FC134E">
        <w:rPr>
          <w:rFonts w:ascii="Palatino Linotype" w:eastAsia="Calibri" w:hAnsi="Palatino Linotype" w:cs="Tahoma"/>
          <w:b/>
          <w:bCs/>
          <w:szCs w:val="22"/>
          <w:lang w:eastAsia="en-US"/>
        </w:rPr>
        <w:t>RECURRENTE</w:t>
      </w:r>
      <w:r>
        <w:rPr>
          <w:rFonts w:ascii="Palatino Linotype" w:eastAsia="Calibri" w:hAnsi="Palatino Linotype" w:cs="Tahoma"/>
          <w:bCs/>
          <w:szCs w:val="22"/>
          <w:lang w:eastAsia="en-US"/>
        </w:rPr>
        <w:t>.</w:t>
      </w:r>
    </w:p>
    <w:p w:rsidR="00400D0D"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Con base en todo lo expuesto, las suscritas estimamos que </w:t>
      </w:r>
      <w:r w:rsidRPr="00CA3A83">
        <w:rPr>
          <w:rFonts w:ascii="Palatino Linotype" w:eastAsia="Calibri" w:hAnsi="Palatino Linotype" w:cs="Tahoma"/>
          <w:b/>
          <w:bCs/>
          <w:szCs w:val="22"/>
          <w:lang w:eastAsia="en-US"/>
        </w:rPr>
        <w:t>EL SUJETO OBLIGADO</w:t>
      </w:r>
      <w:r>
        <w:rPr>
          <w:rFonts w:ascii="Palatino Linotype" w:eastAsia="Calibri" w:hAnsi="Palatino Linotype" w:cs="Tahoma"/>
          <w:b/>
          <w:bCs/>
          <w:szCs w:val="22"/>
          <w:lang w:eastAsia="en-US"/>
        </w:rPr>
        <w:t>,</w:t>
      </w:r>
      <w:r>
        <w:rPr>
          <w:rFonts w:ascii="Palatino Linotype" w:eastAsia="Calibri" w:hAnsi="Palatino Linotype" w:cs="Tahoma"/>
          <w:bCs/>
          <w:szCs w:val="22"/>
          <w:lang w:eastAsia="en-US"/>
        </w:rPr>
        <w:t xml:space="preserve"> en la remisión de su Informe Justificado, actualizó lo dispuesto por la fracción III del artículo 185 de la Ley de </w:t>
      </w:r>
      <w:r w:rsidRPr="00CA3A83">
        <w:rPr>
          <w:rFonts w:ascii="Palatino Linotype" w:eastAsia="Calibri" w:hAnsi="Palatino Linotype" w:cs="Tahoma"/>
          <w:bCs/>
          <w:szCs w:val="22"/>
          <w:lang w:eastAsia="en-US"/>
        </w:rPr>
        <w:t>Transparencia y Acceso a la Información Públic</w:t>
      </w:r>
      <w:r>
        <w:rPr>
          <w:rFonts w:ascii="Palatino Linotype" w:eastAsia="Calibri" w:hAnsi="Palatino Linotype" w:cs="Tahoma"/>
          <w:bCs/>
          <w:szCs w:val="22"/>
          <w:lang w:eastAsia="en-US"/>
        </w:rPr>
        <w:t xml:space="preserve">a del Estado de México, ya que </w:t>
      </w:r>
      <w:r w:rsidR="00220B93">
        <w:rPr>
          <w:rFonts w:ascii="Palatino Linotype" w:eastAsia="Calibri" w:hAnsi="Palatino Linotype" w:cs="Tahoma"/>
          <w:bCs/>
          <w:szCs w:val="22"/>
          <w:lang w:eastAsia="en-US"/>
        </w:rPr>
        <w:t>remitió</w:t>
      </w:r>
      <w:r>
        <w:rPr>
          <w:rFonts w:ascii="Palatino Linotype" w:eastAsia="Calibri" w:hAnsi="Palatino Linotype" w:cs="Tahoma"/>
          <w:bCs/>
          <w:szCs w:val="22"/>
          <w:lang w:eastAsia="en-US"/>
        </w:rPr>
        <w:t xml:space="preserve"> </w:t>
      </w:r>
      <w:r w:rsidRPr="00CA3A83">
        <w:rPr>
          <w:rFonts w:ascii="Palatino Linotype" w:eastAsia="Calibri" w:hAnsi="Palatino Linotype" w:cs="Tahoma"/>
          <w:bCs/>
          <w:szCs w:val="22"/>
          <w:lang w:eastAsia="en-US"/>
        </w:rPr>
        <w:t xml:space="preserve">elementos adicionales </w:t>
      </w:r>
      <w:r w:rsidR="00220B93">
        <w:rPr>
          <w:rFonts w:ascii="Palatino Linotype" w:eastAsia="Calibri" w:hAnsi="Palatino Linotype" w:cs="Tahoma"/>
          <w:bCs/>
          <w:szCs w:val="22"/>
          <w:lang w:eastAsia="en-US"/>
        </w:rPr>
        <w:t xml:space="preserve">encaminados a atender </w:t>
      </w:r>
      <w:r>
        <w:rPr>
          <w:rFonts w:ascii="Palatino Linotype" w:eastAsia="Calibri" w:hAnsi="Palatino Linotype" w:cs="Tahoma"/>
          <w:bCs/>
          <w:szCs w:val="22"/>
          <w:lang w:eastAsia="en-US"/>
        </w:rPr>
        <w:t>la solicitud de información; situación que consiste en una modificación de la respuesta</w:t>
      </w:r>
      <w:r w:rsidRPr="00CA3A83">
        <w:rPr>
          <w:rFonts w:ascii="Palatino Linotype" w:eastAsia="Calibri" w:hAnsi="Palatino Linotype" w:cs="Tahoma"/>
          <w:bCs/>
          <w:szCs w:val="22"/>
          <w:lang w:eastAsia="en-US"/>
        </w:rPr>
        <w:t xml:space="preserve"> inicial</w:t>
      </w:r>
      <w:r>
        <w:rPr>
          <w:rFonts w:ascii="Palatino Linotype" w:eastAsia="Calibri" w:hAnsi="Palatino Linotype" w:cs="Tahoma"/>
          <w:bCs/>
          <w:szCs w:val="22"/>
          <w:lang w:eastAsia="en-US"/>
        </w:rPr>
        <w:t xml:space="preserve">; por lo que, </w:t>
      </w:r>
      <w:r w:rsidR="0023245E">
        <w:rPr>
          <w:rFonts w:ascii="Palatino Linotype" w:eastAsia="Calibri" w:hAnsi="Palatino Linotype" w:cs="Tahoma"/>
          <w:bCs/>
          <w:szCs w:val="22"/>
          <w:lang w:eastAsia="en-US"/>
        </w:rPr>
        <w:t xml:space="preserve">la </w:t>
      </w:r>
      <w:r>
        <w:rPr>
          <w:rFonts w:ascii="Palatino Linotype" w:eastAsia="Calibri" w:hAnsi="Palatino Linotype" w:cs="Tahoma"/>
          <w:bCs/>
          <w:szCs w:val="22"/>
          <w:lang w:eastAsia="en-US"/>
        </w:rPr>
        <w:t xml:space="preserve">Ponencia Resolutora debió ponerla a disposición de </w:t>
      </w:r>
      <w:r w:rsidRPr="00DC6BAA">
        <w:rPr>
          <w:rFonts w:ascii="Palatino Linotype" w:eastAsia="Calibri" w:hAnsi="Palatino Linotype" w:cs="Tahoma"/>
          <w:b/>
          <w:bCs/>
          <w:szCs w:val="22"/>
          <w:lang w:eastAsia="en-US"/>
        </w:rPr>
        <w:t>LA RECURRENTE</w:t>
      </w:r>
      <w:r w:rsidR="0023245E">
        <w:rPr>
          <w:rFonts w:ascii="Palatino Linotype" w:eastAsia="Calibri" w:hAnsi="Palatino Linotype" w:cs="Tahoma"/>
          <w:bCs/>
          <w:szCs w:val="22"/>
          <w:lang w:eastAsia="en-US"/>
        </w:rPr>
        <w:t xml:space="preserve"> para que manifestara</w:t>
      </w:r>
      <w:r>
        <w:rPr>
          <w:rFonts w:ascii="Palatino Linotype" w:eastAsia="Calibri" w:hAnsi="Palatino Linotype" w:cs="Tahoma"/>
          <w:bCs/>
          <w:szCs w:val="22"/>
          <w:lang w:eastAsia="en-US"/>
        </w:rPr>
        <w:t xml:space="preserve"> lo que a su derecho conviniera.</w:t>
      </w:r>
    </w:p>
    <w:p w:rsidR="00400D0D" w:rsidRPr="00214621" w:rsidRDefault="00400D0D" w:rsidP="00400D0D">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Dicho lo anterior, consideramos que, con la información remitida por el </w:t>
      </w:r>
      <w:r w:rsidRPr="00DC6BAA">
        <w:rPr>
          <w:rFonts w:ascii="Palatino Linotype" w:eastAsia="Calibri" w:hAnsi="Palatino Linotype" w:cs="Tahoma"/>
          <w:b/>
          <w:bCs/>
          <w:szCs w:val="22"/>
          <w:lang w:eastAsia="en-US"/>
        </w:rPr>
        <w:t>SUJETO OBLIGADO</w:t>
      </w:r>
      <w:r w:rsidR="00220B93">
        <w:rPr>
          <w:rFonts w:ascii="Palatino Linotype" w:eastAsia="Calibri" w:hAnsi="Palatino Linotype" w:cs="Tahoma"/>
          <w:bCs/>
          <w:szCs w:val="22"/>
          <w:lang w:eastAsia="en-US"/>
        </w:rPr>
        <w:t xml:space="preserve"> en el Informe Justificado</w:t>
      </w:r>
      <w:r>
        <w:rPr>
          <w:rFonts w:ascii="Palatino Linotype" w:eastAsia="Calibri" w:hAnsi="Palatino Linotype" w:cs="Tahoma"/>
          <w:bCs/>
          <w:szCs w:val="22"/>
          <w:lang w:eastAsia="en-US"/>
        </w:rPr>
        <w:t>, se actualizó</w:t>
      </w:r>
      <w:r w:rsidRPr="00214621">
        <w:rPr>
          <w:rFonts w:ascii="Palatino Linotype" w:eastAsia="Calibri" w:hAnsi="Palatino Linotype" w:cs="Tahoma"/>
          <w:bCs/>
          <w:szCs w:val="22"/>
          <w:lang w:eastAsia="en-US"/>
        </w:rPr>
        <w:t xml:space="preserve"> la causal de sobreseimiento prevista en la fracción III del artículo 192 de la Ley de Transparencia y Acceso a la Información Pública del Estado de México y Municipios, que a la letra dice: </w:t>
      </w:r>
    </w:p>
    <w:p w:rsidR="00400D0D" w:rsidRPr="00214621" w:rsidRDefault="00400D0D" w:rsidP="00DD6570">
      <w:pPr>
        <w:ind w:left="851" w:right="618"/>
        <w:jc w:val="both"/>
        <w:rPr>
          <w:rFonts w:ascii="Palatino Linotype" w:eastAsia="Calibri" w:hAnsi="Palatino Linotype" w:cs="Tahoma"/>
          <w:bCs/>
          <w:i/>
          <w:sz w:val="22"/>
          <w:szCs w:val="22"/>
          <w:lang w:eastAsia="en-US"/>
        </w:rPr>
      </w:pPr>
      <w:r w:rsidRPr="00214621">
        <w:rPr>
          <w:rFonts w:ascii="Palatino Linotype" w:eastAsia="Calibri" w:hAnsi="Palatino Linotype" w:cs="Tahoma"/>
          <w:bCs/>
          <w:szCs w:val="22"/>
          <w:lang w:eastAsia="en-US"/>
        </w:rPr>
        <w:t>“</w:t>
      </w:r>
      <w:r w:rsidRPr="00214621">
        <w:rPr>
          <w:rFonts w:ascii="Palatino Linotype" w:eastAsia="Calibri" w:hAnsi="Palatino Linotype" w:cs="Tahoma"/>
          <w:bCs/>
          <w:i/>
          <w:sz w:val="22"/>
          <w:szCs w:val="22"/>
          <w:lang w:eastAsia="en-US"/>
        </w:rPr>
        <w:t>Artículo 192. El recurso será sobreseído, en todo o en parte, cuando una vez admitido, se actualicen alguno de los siguientes supuestos:</w:t>
      </w:r>
    </w:p>
    <w:p w:rsidR="00400D0D" w:rsidRPr="00214621" w:rsidRDefault="00400D0D" w:rsidP="00DD6570">
      <w:pPr>
        <w:ind w:left="851" w:right="618"/>
        <w:jc w:val="both"/>
        <w:rPr>
          <w:rFonts w:ascii="Palatino Linotype" w:eastAsia="Calibri" w:hAnsi="Palatino Linotype" w:cs="Tahoma"/>
          <w:bCs/>
          <w:i/>
          <w:sz w:val="22"/>
          <w:szCs w:val="22"/>
          <w:lang w:eastAsia="en-US"/>
        </w:rPr>
      </w:pPr>
      <w:r w:rsidRPr="00214621">
        <w:rPr>
          <w:rFonts w:ascii="Palatino Linotype" w:eastAsia="Calibri" w:hAnsi="Palatino Linotype" w:cs="Tahoma"/>
          <w:bCs/>
          <w:i/>
          <w:sz w:val="22"/>
          <w:szCs w:val="22"/>
          <w:lang w:eastAsia="en-US"/>
        </w:rPr>
        <w:t>(…)</w:t>
      </w:r>
    </w:p>
    <w:p w:rsidR="00400D0D" w:rsidRPr="00214621" w:rsidRDefault="00400D0D" w:rsidP="00DD6570">
      <w:pPr>
        <w:ind w:left="851" w:right="618"/>
        <w:jc w:val="both"/>
        <w:rPr>
          <w:rFonts w:ascii="Palatino Linotype" w:eastAsia="Calibri" w:hAnsi="Palatino Linotype" w:cs="Tahoma"/>
          <w:b/>
          <w:bCs/>
          <w:i/>
          <w:sz w:val="22"/>
          <w:szCs w:val="22"/>
          <w:lang w:eastAsia="en-US"/>
        </w:rPr>
      </w:pPr>
      <w:r w:rsidRPr="00214621">
        <w:rPr>
          <w:rFonts w:ascii="Palatino Linotype" w:eastAsia="Calibri" w:hAnsi="Palatino Linotype" w:cs="Tahoma"/>
          <w:b/>
          <w:bCs/>
          <w:i/>
          <w:sz w:val="22"/>
          <w:szCs w:val="22"/>
          <w:lang w:eastAsia="en-US"/>
        </w:rPr>
        <w:t>III. El sujeto obligado responsable del acto lo modifique o revoque de tal manera que el recurso de revisión quede sin materia;</w:t>
      </w:r>
    </w:p>
    <w:p w:rsidR="00400D0D" w:rsidRPr="00214621" w:rsidRDefault="00400D0D" w:rsidP="00DD6570">
      <w:pPr>
        <w:ind w:left="851" w:right="618"/>
        <w:jc w:val="both"/>
        <w:rPr>
          <w:rFonts w:ascii="Palatino Linotype" w:eastAsia="Calibri" w:hAnsi="Palatino Linotype" w:cs="Tahoma"/>
          <w:bCs/>
          <w:i/>
          <w:sz w:val="22"/>
          <w:szCs w:val="22"/>
          <w:lang w:eastAsia="en-US"/>
        </w:rPr>
      </w:pPr>
      <w:r w:rsidRPr="00214621">
        <w:rPr>
          <w:rFonts w:ascii="Palatino Linotype" w:eastAsia="Calibri" w:hAnsi="Palatino Linotype" w:cs="Tahoma"/>
          <w:bCs/>
          <w:i/>
          <w:sz w:val="22"/>
          <w:szCs w:val="22"/>
          <w:lang w:eastAsia="en-US"/>
        </w:rPr>
        <w:t>(Énfasis añadido)”</w:t>
      </w:r>
    </w:p>
    <w:p w:rsidR="00400D0D" w:rsidRPr="006C331E" w:rsidRDefault="00DD6570" w:rsidP="00400D0D">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w:t>
      </w:r>
      <w:r w:rsidR="00400D0D" w:rsidRPr="006C331E">
        <w:rPr>
          <w:rFonts w:ascii="Palatino Linotype" w:hAnsi="Palatino Linotype" w:cs="Arial"/>
        </w:rPr>
        <w:t xml:space="preserve">, toda vez que </w:t>
      </w:r>
      <w:r w:rsidR="00400D0D" w:rsidRPr="006C331E">
        <w:rPr>
          <w:rFonts w:ascii="Palatino Linotype" w:hAnsi="Palatino Linotype" w:cs="Arial"/>
          <w:b/>
        </w:rPr>
        <w:t>EL SUJETO OBLIGADO</w:t>
      </w:r>
      <w:r w:rsidR="00400D0D" w:rsidRPr="006C331E">
        <w:rPr>
          <w:rFonts w:ascii="Palatino Linotype" w:hAnsi="Palatino Linotype" w:cs="Arial"/>
        </w:rPr>
        <w:t xml:space="preserve"> mediante un acto posterior a su respuesta, como lo fue en su Informe Justificado, r</w:t>
      </w:r>
      <w:r>
        <w:rPr>
          <w:rFonts w:ascii="Palatino Linotype" w:hAnsi="Palatino Linotype" w:cs="Arial"/>
        </w:rPr>
        <w:t xml:space="preserve">emitió información con la cual se estima que </w:t>
      </w:r>
      <w:r w:rsidR="00400D0D" w:rsidRPr="006C331E">
        <w:rPr>
          <w:rFonts w:ascii="Palatino Linotype" w:hAnsi="Palatino Linotype" w:cs="Arial"/>
        </w:rPr>
        <w:t>dejó sin materia el recurso</w:t>
      </w:r>
      <w:r w:rsidR="00BD5CA9">
        <w:rPr>
          <w:rFonts w:ascii="Palatino Linotype" w:hAnsi="Palatino Linotype" w:cs="Arial"/>
        </w:rPr>
        <w:t xml:space="preserve"> de mérito</w:t>
      </w:r>
      <w:r w:rsidR="00400D0D" w:rsidRPr="006C331E">
        <w:rPr>
          <w:rFonts w:ascii="Palatino Linotype" w:hAnsi="Palatino Linotype" w:cs="Arial"/>
        </w:rPr>
        <w:t xml:space="preserve">. </w:t>
      </w:r>
    </w:p>
    <w:p w:rsidR="00DD6570" w:rsidRDefault="00DD6570" w:rsidP="00400D0D">
      <w:pPr>
        <w:spacing w:before="100" w:beforeAutospacing="1" w:after="100" w:afterAutospacing="1" w:line="360" w:lineRule="auto"/>
        <w:jc w:val="both"/>
        <w:rPr>
          <w:rFonts w:ascii="Palatino Linotype" w:hAnsi="Palatino Linotype"/>
          <w:noProof/>
          <w:lang w:eastAsia="es-MX"/>
        </w:rPr>
      </w:pPr>
      <w:r>
        <w:rPr>
          <w:rFonts w:ascii="Palatino Linotype" w:hAnsi="Palatino Linotype"/>
          <w:noProof/>
          <w:lang w:eastAsia="es-MX"/>
        </w:rPr>
        <w:lastRenderedPageBreak/>
        <w:t xml:space="preserve">Así las cosas, no se omite comentar que al haber existido un pronunciamiento por parte del </w:t>
      </w:r>
      <w:r w:rsidR="00400D0D" w:rsidRPr="006C331E">
        <w:rPr>
          <w:rFonts w:ascii="Palatino Linotype" w:hAnsi="Palatino Linotype"/>
          <w:b/>
          <w:noProof/>
          <w:lang w:eastAsia="es-MX"/>
        </w:rPr>
        <w:t>SUJETO OBLIGADO</w:t>
      </w:r>
      <w:r>
        <w:rPr>
          <w:rFonts w:ascii="Palatino Linotype" w:hAnsi="Palatino Linotype"/>
          <w:noProof/>
          <w:lang w:eastAsia="es-MX"/>
        </w:rPr>
        <w:t xml:space="preserve">, a fin de dar respuesta a la solicitud planteada, este Instituto no esta facultado para manifestarse sobre la veracidad de la información prporcionada, pues este Órgano Garante conforme al articulo 36 de la Ley de la Materia, no se encuentra facultado para pronunciarse acerca de dicho pronunciamiento. </w:t>
      </w:r>
    </w:p>
    <w:p w:rsidR="00400D0D" w:rsidRPr="006C331E" w:rsidRDefault="00400D0D" w:rsidP="00400D0D">
      <w:pPr>
        <w:spacing w:before="100" w:beforeAutospacing="1" w:after="100" w:afterAutospacing="1" w:line="360" w:lineRule="auto"/>
        <w:jc w:val="both"/>
        <w:rPr>
          <w:rFonts w:ascii="Palatino Linotype" w:hAnsi="Palatino Linotype" w:cs="Arial"/>
        </w:rPr>
      </w:pPr>
      <w:r w:rsidRPr="006C331E">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400D0D" w:rsidRPr="00EA3D53" w:rsidRDefault="00400D0D" w:rsidP="00D35ACE">
      <w:pPr>
        <w:spacing w:before="100" w:beforeAutospacing="1" w:after="100" w:afterAutospacing="1" w:line="276" w:lineRule="auto"/>
        <w:ind w:left="709" w:right="757"/>
        <w:jc w:val="both"/>
        <w:rPr>
          <w:rFonts w:ascii="Palatino Linotype" w:hAnsi="Palatino Linotype" w:cs="Arial"/>
          <w:i/>
          <w:sz w:val="22"/>
        </w:rPr>
      </w:pPr>
      <w:r w:rsidRPr="00EA3D53">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EA3D53">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A3D53">
        <w:rPr>
          <w:rFonts w:ascii="Palatino Linotype" w:hAnsi="Palatino Linotype" w:cs="Arial"/>
          <w:i/>
          <w:sz w:val="22"/>
        </w:rPr>
        <w:t>Marván</w:t>
      </w:r>
      <w:proofErr w:type="spellEnd"/>
      <w:r w:rsidRPr="00EA3D53">
        <w:rPr>
          <w:rFonts w:ascii="Palatino Linotype" w:hAnsi="Palatino Linotype" w:cs="Arial"/>
          <w:i/>
          <w:sz w:val="22"/>
        </w:rPr>
        <w:t xml:space="preserve"> Laborde 2395/09 Secretaría de Economía - María </w:t>
      </w:r>
      <w:proofErr w:type="spellStart"/>
      <w:r w:rsidRPr="00EA3D53">
        <w:rPr>
          <w:rFonts w:ascii="Palatino Linotype" w:hAnsi="Palatino Linotype" w:cs="Arial"/>
          <w:i/>
          <w:sz w:val="22"/>
        </w:rPr>
        <w:t>Marván</w:t>
      </w:r>
      <w:proofErr w:type="spellEnd"/>
      <w:r w:rsidRPr="00EA3D53">
        <w:rPr>
          <w:rFonts w:ascii="Palatino Linotype" w:hAnsi="Palatino Linotype" w:cs="Arial"/>
          <w:i/>
          <w:sz w:val="22"/>
        </w:rPr>
        <w:t xml:space="preserve"> Laborde 0837/10 Administración Portuaria Integral de Veracruz, S.A. de C.V. – María </w:t>
      </w:r>
      <w:proofErr w:type="spellStart"/>
      <w:r w:rsidRPr="00EA3D53">
        <w:rPr>
          <w:rFonts w:ascii="Palatino Linotype" w:hAnsi="Palatino Linotype" w:cs="Arial"/>
          <w:i/>
          <w:sz w:val="22"/>
        </w:rPr>
        <w:t>Marván</w:t>
      </w:r>
      <w:proofErr w:type="spellEnd"/>
      <w:r w:rsidRPr="00EA3D53">
        <w:rPr>
          <w:rFonts w:ascii="Palatino Linotype" w:hAnsi="Palatino Linotype" w:cs="Arial"/>
          <w:i/>
          <w:sz w:val="22"/>
        </w:rPr>
        <w:t xml:space="preserve"> Laborde </w:t>
      </w:r>
    </w:p>
    <w:p w:rsidR="00400D0D" w:rsidRPr="00EA3D53" w:rsidRDefault="00400D0D" w:rsidP="00D35ACE">
      <w:pPr>
        <w:spacing w:before="100" w:beforeAutospacing="1" w:after="100" w:afterAutospacing="1" w:line="276" w:lineRule="auto"/>
        <w:ind w:left="709" w:right="757"/>
        <w:jc w:val="both"/>
        <w:rPr>
          <w:rFonts w:ascii="Palatino Linotype" w:hAnsi="Palatino Linotype" w:cs="Arial"/>
          <w:b/>
          <w:i/>
          <w:sz w:val="22"/>
        </w:rPr>
      </w:pPr>
      <w:r w:rsidRPr="00EA3D53">
        <w:rPr>
          <w:rFonts w:ascii="Palatino Linotype" w:hAnsi="Palatino Linotype" w:cs="Arial"/>
          <w:i/>
          <w:sz w:val="22"/>
        </w:rPr>
        <w:lastRenderedPageBreak/>
        <w:t>Criterio 31/10</w:t>
      </w:r>
      <w:r w:rsidRPr="00EA3D53">
        <w:rPr>
          <w:rFonts w:ascii="Palatino Linotype" w:hAnsi="Palatino Linotype" w:cs="Arial"/>
          <w:b/>
          <w:i/>
          <w:sz w:val="22"/>
        </w:rPr>
        <w:t>”</w:t>
      </w:r>
      <w:r w:rsidRPr="00EA3D53">
        <w:rPr>
          <w:rFonts w:ascii="Palatino Linotype" w:hAnsi="Palatino Linotype" w:cs="Arial"/>
          <w:i/>
          <w:sz w:val="22"/>
        </w:rPr>
        <w:t xml:space="preserve"> (sic)</w:t>
      </w:r>
    </w:p>
    <w:p w:rsidR="00BD5CA9" w:rsidRDefault="00400D0D" w:rsidP="00BD5CA9">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Con base en lo anteriormente expuesto, las suscritas reiteramos que con la información adicional remitida por </w:t>
      </w:r>
      <w:r w:rsidRPr="006C331E">
        <w:rPr>
          <w:rFonts w:ascii="Palatino Linotype" w:eastAsia="Calibri" w:hAnsi="Palatino Linotype" w:cs="Tahoma"/>
          <w:b/>
          <w:bCs/>
          <w:szCs w:val="22"/>
          <w:lang w:eastAsia="en-US"/>
        </w:rPr>
        <w:t>EL SUJETO OBLIGADO</w:t>
      </w:r>
      <w:r>
        <w:rPr>
          <w:rFonts w:ascii="Palatino Linotype" w:eastAsia="Calibri" w:hAnsi="Palatino Linotype" w:cs="Tahoma"/>
          <w:bCs/>
          <w:szCs w:val="22"/>
          <w:lang w:eastAsia="en-US"/>
        </w:rPr>
        <w:t>, en su Informe Justificado, modificó su respuesta inicial</w:t>
      </w:r>
      <w:r w:rsidR="00DD6570">
        <w:rPr>
          <w:rFonts w:ascii="Palatino Linotype" w:eastAsia="Calibri" w:hAnsi="Palatino Linotype" w:cs="Tahoma"/>
          <w:bCs/>
          <w:szCs w:val="22"/>
          <w:lang w:eastAsia="en-US"/>
        </w:rPr>
        <w:t xml:space="preserve"> al remitir documentación con la cual otorgó certeza jurídica</w:t>
      </w:r>
      <w:r>
        <w:rPr>
          <w:rFonts w:ascii="Palatino Linotype" w:eastAsia="Calibri" w:hAnsi="Palatino Linotype" w:cs="Tahoma"/>
          <w:bCs/>
          <w:szCs w:val="22"/>
          <w:lang w:eastAsia="en-US"/>
        </w:rPr>
        <w:t xml:space="preserve">; por lo que, debió haberse puesto a disposición de </w:t>
      </w:r>
      <w:r w:rsidRPr="006C331E">
        <w:rPr>
          <w:rFonts w:ascii="Palatino Linotype" w:eastAsia="Calibri" w:hAnsi="Palatino Linotype" w:cs="Tahoma"/>
          <w:b/>
          <w:bCs/>
          <w:szCs w:val="22"/>
          <w:lang w:eastAsia="en-US"/>
        </w:rPr>
        <w:t>LA RECURRENTE</w:t>
      </w:r>
      <w:r w:rsidR="00DD6570">
        <w:rPr>
          <w:rFonts w:ascii="Palatino Linotype" w:eastAsia="Calibri" w:hAnsi="Palatino Linotype" w:cs="Tahoma"/>
          <w:bCs/>
          <w:szCs w:val="22"/>
          <w:lang w:eastAsia="en-US"/>
        </w:rPr>
        <w:t xml:space="preserve">, dejando </w:t>
      </w:r>
      <w:r>
        <w:rPr>
          <w:rFonts w:ascii="Palatino Linotype" w:eastAsia="Calibri" w:hAnsi="Palatino Linotype" w:cs="Tahoma"/>
          <w:bCs/>
          <w:szCs w:val="22"/>
          <w:lang w:eastAsia="en-US"/>
        </w:rPr>
        <w:t>sin materia el m</w:t>
      </w:r>
      <w:r w:rsidR="00DD6570">
        <w:rPr>
          <w:rFonts w:ascii="Palatino Linotype" w:eastAsia="Calibri" w:hAnsi="Palatino Linotype" w:cs="Tahoma"/>
          <w:bCs/>
          <w:szCs w:val="22"/>
          <w:lang w:eastAsia="en-US"/>
        </w:rPr>
        <w:t xml:space="preserve">edio de impugnación de análisis y actualizando </w:t>
      </w:r>
      <w:r>
        <w:rPr>
          <w:rFonts w:ascii="Palatino Linotype" w:eastAsia="Calibri" w:hAnsi="Palatino Linotype" w:cs="Tahoma"/>
          <w:bCs/>
          <w:szCs w:val="22"/>
          <w:lang w:eastAsia="en-US"/>
        </w:rPr>
        <w:t xml:space="preserve">la causal de sobreseimiento estipulada en la fracción III del diverso artículo 192 de la </w:t>
      </w:r>
      <w:r w:rsidRPr="00214621">
        <w:rPr>
          <w:rFonts w:ascii="Palatino Linotype" w:eastAsia="Calibri" w:hAnsi="Palatino Linotype" w:cs="Tahoma"/>
          <w:bCs/>
          <w:szCs w:val="22"/>
          <w:lang w:eastAsia="en-US"/>
        </w:rPr>
        <w:t>Ley de Transparencia y Acceso a la Información Pública del Estado de México y Municipios</w:t>
      </w:r>
      <w:r w:rsidR="00BD5CA9">
        <w:rPr>
          <w:rFonts w:ascii="Palatino Linotype" w:eastAsia="Calibri" w:hAnsi="Palatino Linotype" w:cs="Tahoma"/>
          <w:bCs/>
          <w:szCs w:val="22"/>
          <w:lang w:eastAsia="en-US"/>
        </w:rPr>
        <w:t>.</w:t>
      </w:r>
    </w:p>
    <w:p w:rsidR="00D35ACE" w:rsidRDefault="00D35ACE" w:rsidP="00E11822">
      <w:pPr>
        <w:spacing w:before="100" w:beforeAutospacing="1" w:after="100" w:afterAutospacing="1" w:line="360" w:lineRule="auto"/>
        <w:jc w:val="both"/>
        <w:rPr>
          <w:rFonts w:ascii="Palatino Linotype" w:hAnsi="Palatino Linotype"/>
        </w:rPr>
      </w:pPr>
    </w:p>
    <w:p w:rsidR="00DD6570" w:rsidRDefault="00DD6570" w:rsidP="00E11822">
      <w:pPr>
        <w:spacing w:before="100" w:beforeAutospacing="1" w:after="100" w:afterAutospacing="1" w:line="360" w:lineRule="auto"/>
        <w:jc w:val="both"/>
        <w:rPr>
          <w:rFonts w:ascii="Palatino Linotype" w:hAnsi="Palatino Linotype"/>
        </w:rPr>
      </w:pPr>
    </w:p>
    <w:p w:rsidR="00DD6570" w:rsidRDefault="00DD6570" w:rsidP="00E11822">
      <w:pPr>
        <w:spacing w:before="100" w:beforeAutospacing="1" w:after="100" w:afterAutospacing="1" w:line="360" w:lineRule="auto"/>
        <w:jc w:val="both"/>
        <w:rPr>
          <w:rFonts w:ascii="Palatino Linotype" w:hAnsi="Palatino Linotype"/>
        </w:rPr>
      </w:pPr>
    </w:p>
    <w:p w:rsidR="00DD6570" w:rsidRDefault="00DD6570" w:rsidP="00E11822">
      <w:pPr>
        <w:spacing w:before="100" w:beforeAutospacing="1" w:after="100" w:afterAutospacing="1" w:line="360" w:lineRule="auto"/>
        <w:jc w:val="both"/>
        <w:rPr>
          <w:rFonts w:ascii="Palatino Linotype" w:hAnsi="Palatino Linotype"/>
        </w:rPr>
      </w:pPr>
    </w:p>
    <w:p w:rsidR="00DD6570" w:rsidRDefault="00DD6570" w:rsidP="00E11822">
      <w:pPr>
        <w:spacing w:before="100" w:beforeAutospacing="1" w:after="100" w:afterAutospacing="1"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CC7995" w:rsidTr="00CC7995">
        <w:tc>
          <w:tcPr>
            <w:tcW w:w="4555" w:type="dxa"/>
            <w:vAlign w:val="center"/>
          </w:tcPr>
          <w:p w:rsidR="00CC7995" w:rsidRPr="00535456" w:rsidRDefault="00CC7995" w:rsidP="00CC7995">
            <w:pPr>
              <w:jc w:val="center"/>
              <w:rPr>
                <w:rFonts w:ascii="Palatino Linotype" w:hAnsi="Palatino Linotype"/>
                <w:b/>
              </w:rPr>
            </w:pPr>
            <w:r w:rsidRPr="00535456">
              <w:rPr>
                <w:rFonts w:ascii="Palatino Linotype" w:hAnsi="Palatino Linotype"/>
                <w:b/>
              </w:rPr>
              <w:t>EVA ABAID YAPUR</w:t>
            </w:r>
          </w:p>
          <w:p w:rsidR="00CC7995" w:rsidRDefault="00CC7995" w:rsidP="00DD6570">
            <w:pPr>
              <w:jc w:val="center"/>
              <w:rPr>
                <w:rFonts w:ascii="Palatino Linotype" w:hAnsi="Palatino Linotype"/>
                <w:b/>
              </w:rPr>
            </w:pPr>
            <w:r w:rsidRPr="00535456">
              <w:rPr>
                <w:rFonts w:ascii="Palatino Linotype" w:hAnsi="Palatino Linotype"/>
                <w:b/>
              </w:rPr>
              <w:t>COMISIONADA</w:t>
            </w:r>
          </w:p>
          <w:p w:rsidR="00003780" w:rsidRPr="00003780" w:rsidRDefault="00003780" w:rsidP="00003780">
            <w:pPr>
              <w:jc w:val="center"/>
              <w:rPr>
                <w:rFonts w:ascii="Palatino Linotype" w:hAnsi="Palatino Linotype"/>
                <w:b/>
                <w:lang w:val="es-MX"/>
              </w:rPr>
            </w:pPr>
            <w:r w:rsidRPr="00003780">
              <w:rPr>
                <w:rFonts w:ascii="Palatino Linotype" w:hAnsi="Palatino Linotype"/>
                <w:b/>
                <w:lang w:val="es-MX"/>
              </w:rPr>
              <w:t>(RÚBRICA)</w:t>
            </w:r>
          </w:p>
          <w:p w:rsidR="00003780" w:rsidRPr="00CC7995" w:rsidRDefault="00003780" w:rsidP="00DD6570">
            <w:pPr>
              <w:jc w:val="center"/>
              <w:rPr>
                <w:rFonts w:ascii="Palatino Linotype" w:hAnsi="Palatino Linotype"/>
                <w:b/>
              </w:rPr>
            </w:pPr>
          </w:p>
        </w:tc>
        <w:tc>
          <w:tcPr>
            <w:tcW w:w="4556" w:type="dxa"/>
            <w:vAlign w:val="center"/>
          </w:tcPr>
          <w:p w:rsidR="00CC7995" w:rsidRPr="00535456" w:rsidRDefault="00644424" w:rsidP="00CC7995">
            <w:pPr>
              <w:jc w:val="center"/>
              <w:rPr>
                <w:rFonts w:ascii="Palatino Linotype" w:hAnsi="Palatino Linotype"/>
                <w:b/>
              </w:rPr>
            </w:pPr>
            <w:r>
              <w:rPr>
                <w:rFonts w:ascii="Palatino Linotype" w:hAnsi="Palatino Linotype"/>
                <w:b/>
              </w:rPr>
              <w:t>ZULEMA MARTÍNEZ SÁNCHEZ</w:t>
            </w:r>
          </w:p>
          <w:p w:rsidR="00CC7995" w:rsidRDefault="00CC7995" w:rsidP="00DD6570">
            <w:pPr>
              <w:jc w:val="center"/>
              <w:rPr>
                <w:rFonts w:ascii="Palatino Linotype" w:hAnsi="Palatino Linotype"/>
                <w:b/>
              </w:rPr>
            </w:pPr>
            <w:r>
              <w:rPr>
                <w:rFonts w:ascii="Palatino Linotype" w:hAnsi="Palatino Linotype"/>
                <w:b/>
              </w:rPr>
              <w:t>COMISIONAD</w:t>
            </w:r>
            <w:r w:rsidR="00644424">
              <w:rPr>
                <w:rFonts w:ascii="Palatino Linotype" w:hAnsi="Palatino Linotype"/>
                <w:b/>
              </w:rPr>
              <w:t>A PRESIDENTA</w:t>
            </w:r>
          </w:p>
          <w:p w:rsidR="00003780" w:rsidRPr="00003780" w:rsidRDefault="00003780" w:rsidP="00003780">
            <w:pPr>
              <w:jc w:val="center"/>
              <w:rPr>
                <w:rFonts w:ascii="Palatino Linotype" w:hAnsi="Palatino Linotype"/>
                <w:b/>
                <w:lang w:val="es-MX"/>
              </w:rPr>
            </w:pPr>
            <w:r w:rsidRPr="00003780">
              <w:rPr>
                <w:rFonts w:ascii="Palatino Linotype" w:hAnsi="Palatino Linotype"/>
                <w:b/>
                <w:lang w:val="es-MX"/>
              </w:rPr>
              <w:t>(RÚBRICA)</w:t>
            </w:r>
          </w:p>
          <w:p w:rsidR="00003780" w:rsidRPr="00CC7995" w:rsidRDefault="00003780" w:rsidP="00DD6570">
            <w:pPr>
              <w:jc w:val="center"/>
              <w:rPr>
                <w:rFonts w:ascii="Palatino Linotype" w:hAnsi="Palatino Linotype"/>
                <w:b/>
              </w:rPr>
            </w:pPr>
            <w:bookmarkStart w:id="1" w:name="_GoBack"/>
            <w:bookmarkEnd w:id="1"/>
          </w:p>
        </w:tc>
      </w:tr>
    </w:tbl>
    <w:p w:rsidR="00BD5CA9" w:rsidRDefault="00BD5CA9" w:rsidP="00535456">
      <w:pPr>
        <w:jc w:val="both"/>
        <w:rPr>
          <w:rFonts w:ascii="Palatino Linotype" w:eastAsia="Calibri" w:hAnsi="Palatino Linotype" w:cs="Arial"/>
          <w:sz w:val="20"/>
        </w:rPr>
      </w:pPr>
    </w:p>
    <w:p w:rsidR="00D36CA8"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sta hoja corresponde al voto particular</w:t>
      </w:r>
      <w:r w:rsidR="00CC7995">
        <w:rPr>
          <w:rFonts w:ascii="Palatino Linotype" w:eastAsia="Calibri" w:hAnsi="Palatino Linotype" w:cs="Arial"/>
          <w:sz w:val="20"/>
        </w:rPr>
        <w:t xml:space="preserve"> concurrente</w:t>
      </w:r>
      <w:r w:rsidR="00A517EA" w:rsidRPr="00535456">
        <w:rPr>
          <w:rFonts w:ascii="Palatino Linotype" w:eastAsia="Calibri" w:hAnsi="Palatino Linotype" w:cs="Arial"/>
          <w:sz w:val="20"/>
        </w:rPr>
        <w:t xml:space="preserve">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162A6">
        <w:rPr>
          <w:rFonts w:ascii="Palatino Linotype" w:eastAsia="Calibri" w:hAnsi="Palatino Linotype" w:cs="Arial"/>
          <w:sz w:val="20"/>
        </w:rPr>
        <w:t>04</w:t>
      </w:r>
      <w:r w:rsidR="00644424">
        <w:rPr>
          <w:rFonts w:ascii="Palatino Linotype" w:eastAsia="Calibri" w:hAnsi="Palatino Linotype" w:cs="Arial"/>
          <w:sz w:val="20"/>
        </w:rPr>
        <w:t>396</w:t>
      </w:r>
      <w:r w:rsidR="00670931" w:rsidRPr="00535456">
        <w:rPr>
          <w:rFonts w:ascii="Palatino Linotype" w:eastAsia="Calibri" w:hAnsi="Palatino Linotype" w:cs="Arial"/>
          <w:sz w:val="20"/>
        </w:rPr>
        <w:t>/INFOEM/IP/RR/2018</w:t>
      </w:r>
      <w:r w:rsidR="006C63C4" w:rsidRPr="00535456">
        <w:rPr>
          <w:rFonts w:ascii="Palatino Linotype" w:eastAsia="Calibri" w:hAnsi="Palatino Linotype" w:cs="Arial"/>
          <w:sz w:val="20"/>
        </w:rPr>
        <w:t xml:space="preserve">, aprobada el </w:t>
      </w:r>
      <w:r w:rsidR="004D5015">
        <w:rPr>
          <w:rFonts w:ascii="Palatino Linotype" w:eastAsia="Calibri" w:hAnsi="Palatino Linotype" w:cs="Arial"/>
          <w:sz w:val="20"/>
        </w:rPr>
        <w:t>trece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DD6570" w:rsidRPr="00DD6570" w:rsidRDefault="00DD6570" w:rsidP="00535456">
      <w:pPr>
        <w:jc w:val="both"/>
        <w:rPr>
          <w:rFonts w:ascii="Palatino Linotype" w:eastAsia="Calibri" w:hAnsi="Palatino Linotype" w:cs="Arial"/>
          <w:sz w:val="8"/>
          <w:szCs w:val="8"/>
        </w:rPr>
      </w:pPr>
    </w:p>
    <w:p w:rsidR="00A517E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617CBA">
        <w:rPr>
          <w:rFonts w:ascii="Palatino Linotype" w:eastAsia="Calibri" w:hAnsi="Palatino Linotype" w:cs="Arial"/>
          <w:sz w:val="20"/>
        </w:rPr>
        <w:t>OSAM/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F19" w:rsidRDefault="00074F19" w:rsidP="00DB3A83">
      <w:r>
        <w:separator/>
      </w:r>
    </w:p>
  </w:endnote>
  <w:endnote w:type="continuationSeparator" w:id="0">
    <w:p w:rsidR="00074F19" w:rsidRDefault="00074F19"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03780" w:rsidP="003056D9">
    <w:pPr>
      <w:pStyle w:val="Piedepgina"/>
      <w:tabs>
        <w:tab w:val="clear" w:pos="4252"/>
        <w:tab w:val="left" w:pos="4228"/>
      </w:tabs>
      <w:rPr>
        <w:rFonts w:ascii="Palatino Linotype" w:hAnsi="Palatino Linotype" w:cs="Arial"/>
        <w:b/>
        <w:bCs/>
        <w:sz w:val="20"/>
        <w:szCs w:val="20"/>
      </w:rPr>
    </w:pPr>
  </w:p>
  <w:p w:rsidR="003056D9" w:rsidRDefault="00003780" w:rsidP="003056D9">
    <w:pPr>
      <w:pStyle w:val="Piedepgina"/>
      <w:tabs>
        <w:tab w:val="clear" w:pos="4252"/>
        <w:tab w:val="left" w:pos="4228"/>
      </w:tabs>
      <w:rPr>
        <w:rFonts w:ascii="Palatino Linotype" w:hAnsi="Palatino Linotype" w:cs="Arial"/>
        <w:b/>
        <w:bCs/>
        <w:sz w:val="20"/>
        <w:szCs w:val="20"/>
      </w:rPr>
    </w:pPr>
  </w:p>
  <w:p w:rsidR="003056D9" w:rsidRDefault="00003780" w:rsidP="003056D9">
    <w:pPr>
      <w:pStyle w:val="Piedepgina"/>
      <w:tabs>
        <w:tab w:val="clear" w:pos="4252"/>
        <w:tab w:val="left" w:pos="4228"/>
      </w:tabs>
      <w:rPr>
        <w:rFonts w:ascii="Palatino Linotype" w:hAnsi="Palatino Linotype" w:cs="Arial"/>
        <w:b/>
        <w:bCs/>
        <w:sz w:val="20"/>
        <w:szCs w:val="20"/>
      </w:rPr>
    </w:pPr>
  </w:p>
  <w:p w:rsidR="00455CB3" w:rsidRDefault="00003780"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0378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0378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00378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F19" w:rsidRDefault="00074F19" w:rsidP="00DB3A83">
      <w:r>
        <w:separator/>
      </w:r>
    </w:p>
  </w:footnote>
  <w:footnote w:type="continuationSeparator" w:id="0">
    <w:p w:rsidR="00074F19" w:rsidRDefault="00074F19" w:rsidP="00DB3A83">
      <w:r>
        <w:continuationSeparator/>
      </w:r>
    </w:p>
  </w:footnote>
  <w:footnote w:id="1">
    <w:p w:rsidR="00400D0D" w:rsidRPr="00B3579C" w:rsidRDefault="00400D0D" w:rsidP="00400D0D">
      <w:pPr>
        <w:pStyle w:val="Textonotapie"/>
        <w:jc w:val="both"/>
        <w:rPr>
          <w:rFonts w:ascii="Palatino Linotype" w:hAnsi="Palatino Linotype"/>
        </w:rPr>
      </w:pPr>
      <w:r w:rsidRPr="00B3579C">
        <w:rPr>
          <w:rStyle w:val="Refdenotaalpie"/>
          <w:rFonts w:ascii="Palatino Linotype" w:hAnsi="Palatino Linotype"/>
        </w:rPr>
        <w:footnoteRef/>
      </w:r>
      <w:r w:rsidRPr="00B3579C">
        <w:rPr>
          <w:rFonts w:ascii="Palatino Linotype" w:hAnsi="Palatino Linotype"/>
        </w:rPr>
        <w:t xml:space="preserve"> Al 22 de octubre de 2018, por corresponder a la fecha en que se ingresó la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220B93"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8B6C66" w:rsidRDefault="00220B93"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220B93"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04396</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125D2F" w:rsidRPr="008B6C66" w:rsidRDefault="00003780"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27127" o:spid="_x0000_s2050" type="#_x0000_t136" style="position:absolute;margin-left:0;margin-top:0;width:703.5pt;height:99.75pt;rotation:315;z-index:-251658240;mso-position-horizontal:center;mso-position-horizontal-relative:margin;mso-position-vertical:center;mso-position-vertical-relative:margin" o:allowincell="f" fillcolor="#bfbfbf [2412]" stroked="f">
          <v:fill opacity=".5"/>
          <v:textpath style="font-family:&quot;Palatino Linotype&quot;;font-size:40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AB3079"/>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6">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0"/>
  </w:num>
  <w:num w:numId="2">
    <w:abstractNumId w:val="7"/>
  </w:num>
  <w:num w:numId="3">
    <w:abstractNumId w:val="2"/>
  </w:num>
  <w:num w:numId="4">
    <w:abstractNumId w:val="3"/>
  </w:num>
  <w:num w:numId="5">
    <w:abstractNumId w:val="0"/>
  </w:num>
  <w:num w:numId="6">
    <w:abstractNumId w:val="6"/>
  </w:num>
  <w:num w:numId="7">
    <w:abstractNumId w:val="11"/>
  </w:num>
  <w:num w:numId="8">
    <w:abstractNumId w:val="5"/>
  </w:num>
  <w:num w:numId="9">
    <w:abstractNumId w:val="4"/>
  </w:num>
  <w:num w:numId="10">
    <w:abstractNumId w:val="1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3780"/>
    <w:rsid w:val="00003DBA"/>
    <w:rsid w:val="00010D6F"/>
    <w:rsid w:val="00022A9B"/>
    <w:rsid w:val="000249C3"/>
    <w:rsid w:val="000266D8"/>
    <w:rsid w:val="00030170"/>
    <w:rsid w:val="0003285E"/>
    <w:rsid w:val="00035EF1"/>
    <w:rsid w:val="00043682"/>
    <w:rsid w:val="00074F19"/>
    <w:rsid w:val="00090B6C"/>
    <w:rsid w:val="000936CE"/>
    <w:rsid w:val="000B471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F45A6"/>
    <w:rsid w:val="001F4BD1"/>
    <w:rsid w:val="00213C1A"/>
    <w:rsid w:val="00216380"/>
    <w:rsid w:val="00220B93"/>
    <w:rsid w:val="00224A94"/>
    <w:rsid w:val="00224BDD"/>
    <w:rsid w:val="0023245E"/>
    <w:rsid w:val="00233EC9"/>
    <w:rsid w:val="00247E02"/>
    <w:rsid w:val="002506AD"/>
    <w:rsid w:val="00254372"/>
    <w:rsid w:val="00260EA1"/>
    <w:rsid w:val="00266D54"/>
    <w:rsid w:val="002670A2"/>
    <w:rsid w:val="00296C85"/>
    <w:rsid w:val="002E01EA"/>
    <w:rsid w:val="002F7B17"/>
    <w:rsid w:val="00303EAE"/>
    <w:rsid w:val="00317361"/>
    <w:rsid w:val="00324EBE"/>
    <w:rsid w:val="00340950"/>
    <w:rsid w:val="00343E64"/>
    <w:rsid w:val="0037730C"/>
    <w:rsid w:val="00387039"/>
    <w:rsid w:val="0039638A"/>
    <w:rsid w:val="003A6BF6"/>
    <w:rsid w:val="003B0314"/>
    <w:rsid w:val="003C2F6A"/>
    <w:rsid w:val="003C5476"/>
    <w:rsid w:val="003F1D68"/>
    <w:rsid w:val="003F730A"/>
    <w:rsid w:val="00400D0D"/>
    <w:rsid w:val="00403656"/>
    <w:rsid w:val="004275EC"/>
    <w:rsid w:val="00437359"/>
    <w:rsid w:val="00460F1A"/>
    <w:rsid w:val="00464124"/>
    <w:rsid w:val="00474B93"/>
    <w:rsid w:val="00487B66"/>
    <w:rsid w:val="004B5C25"/>
    <w:rsid w:val="004B6DDA"/>
    <w:rsid w:val="004D5015"/>
    <w:rsid w:val="004F23A5"/>
    <w:rsid w:val="005124B3"/>
    <w:rsid w:val="0053148C"/>
    <w:rsid w:val="00535456"/>
    <w:rsid w:val="00536147"/>
    <w:rsid w:val="00553BC6"/>
    <w:rsid w:val="0057297A"/>
    <w:rsid w:val="00584608"/>
    <w:rsid w:val="005A4D7F"/>
    <w:rsid w:val="005B3099"/>
    <w:rsid w:val="005E5BA4"/>
    <w:rsid w:val="00617CBA"/>
    <w:rsid w:val="00623D4F"/>
    <w:rsid w:val="00644424"/>
    <w:rsid w:val="00654FE9"/>
    <w:rsid w:val="00666737"/>
    <w:rsid w:val="00670931"/>
    <w:rsid w:val="006801D4"/>
    <w:rsid w:val="006A33F9"/>
    <w:rsid w:val="006B0D54"/>
    <w:rsid w:val="006B2453"/>
    <w:rsid w:val="006B30CD"/>
    <w:rsid w:val="006C63C4"/>
    <w:rsid w:val="006C7D0A"/>
    <w:rsid w:val="006D731E"/>
    <w:rsid w:val="006E747E"/>
    <w:rsid w:val="007120B0"/>
    <w:rsid w:val="007162A6"/>
    <w:rsid w:val="00731320"/>
    <w:rsid w:val="00740E0B"/>
    <w:rsid w:val="007745F0"/>
    <w:rsid w:val="00782A45"/>
    <w:rsid w:val="0078728C"/>
    <w:rsid w:val="00793F60"/>
    <w:rsid w:val="007C63BC"/>
    <w:rsid w:val="007C7A0C"/>
    <w:rsid w:val="00805FE7"/>
    <w:rsid w:val="00811B0B"/>
    <w:rsid w:val="008122B6"/>
    <w:rsid w:val="00813CD1"/>
    <w:rsid w:val="00820DBE"/>
    <w:rsid w:val="00823404"/>
    <w:rsid w:val="00854CEE"/>
    <w:rsid w:val="00862F43"/>
    <w:rsid w:val="00864D3F"/>
    <w:rsid w:val="00870B99"/>
    <w:rsid w:val="00871B03"/>
    <w:rsid w:val="00887C59"/>
    <w:rsid w:val="008925FC"/>
    <w:rsid w:val="008965AF"/>
    <w:rsid w:val="008A35FA"/>
    <w:rsid w:val="008B0732"/>
    <w:rsid w:val="008B6C66"/>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863E9"/>
    <w:rsid w:val="00A876FD"/>
    <w:rsid w:val="00A95F70"/>
    <w:rsid w:val="00A96975"/>
    <w:rsid w:val="00AA09B9"/>
    <w:rsid w:val="00AC2253"/>
    <w:rsid w:val="00AF01BA"/>
    <w:rsid w:val="00AF0AEA"/>
    <w:rsid w:val="00B12945"/>
    <w:rsid w:val="00B23526"/>
    <w:rsid w:val="00B30650"/>
    <w:rsid w:val="00B40C46"/>
    <w:rsid w:val="00B6126C"/>
    <w:rsid w:val="00B756DB"/>
    <w:rsid w:val="00B860BF"/>
    <w:rsid w:val="00B872F3"/>
    <w:rsid w:val="00B90FAF"/>
    <w:rsid w:val="00BB74CD"/>
    <w:rsid w:val="00BD5CA9"/>
    <w:rsid w:val="00BE0300"/>
    <w:rsid w:val="00BF70B2"/>
    <w:rsid w:val="00C06571"/>
    <w:rsid w:val="00C5282C"/>
    <w:rsid w:val="00C67C31"/>
    <w:rsid w:val="00C90A7B"/>
    <w:rsid w:val="00CC7995"/>
    <w:rsid w:val="00CD6BDF"/>
    <w:rsid w:val="00CE0D21"/>
    <w:rsid w:val="00CF70C6"/>
    <w:rsid w:val="00D052DA"/>
    <w:rsid w:val="00D05D82"/>
    <w:rsid w:val="00D0607D"/>
    <w:rsid w:val="00D064C2"/>
    <w:rsid w:val="00D11661"/>
    <w:rsid w:val="00D166B0"/>
    <w:rsid w:val="00D25E71"/>
    <w:rsid w:val="00D35ACE"/>
    <w:rsid w:val="00D36CA8"/>
    <w:rsid w:val="00D55E6A"/>
    <w:rsid w:val="00D724F4"/>
    <w:rsid w:val="00D872C4"/>
    <w:rsid w:val="00DA1E7A"/>
    <w:rsid w:val="00DA48BD"/>
    <w:rsid w:val="00DB24D1"/>
    <w:rsid w:val="00DB3A83"/>
    <w:rsid w:val="00DB7856"/>
    <w:rsid w:val="00DD5275"/>
    <w:rsid w:val="00DD5A32"/>
    <w:rsid w:val="00DD6570"/>
    <w:rsid w:val="00DF2B74"/>
    <w:rsid w:val="00E00C3B"/>
    <w:rsid w:val="00E11822"/>
    <w:rsid w:val="00E255FE"/>
    <w:rsid w:val="00E355EF"/>
    <w:rsid w:val="00E46292"/>
    <w:rsid w:val="00EB1D9E"/>
    <w:rsid w:val="00EE5465"/>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 w:val="00FC13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BC69-287C-4C24-880A-B0B729BC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11</cp:revision>
  <cp:lastPrinted>2019-02-05T18:30:00Z</cp:lastPrinted>
  <dcterms:created xsi:type="dcterms:W3CDTF">2019-02-18T15:26:00Z</dcterms:created>
  <dcterms:modified xsi:type="dcterms:W3CDTF">2019-03-15T00:32:00Z</dcterms:modified>
</cp:coreProperties>
</file>